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郏县</w:t>
      </w:r>
      <w:r>
        <w:rPr>
          <w:rFonts w:hint="eastAsia" w:ascii="黑体" w:hAnsi="黑体" w:eastAsia="黑体" w:cs="黑体"/>
          <w:sz w:val="52"/>
          <w:szCs w:val="52"/>
          <w:lang w:val="en-US" w:eastAsia="zh-CN"/>
        </w:rPr>
        <w:t>县委</w:t>
      </w:r>
      <w:r>
        <w:rPr>
          <w:rFonts w:hint="eastAsia" w:ascii="黑体" w:hAnsi="黑体" w:eastAsia="黑体" w:cs="黑体"/>
          <w:sz w:val="52"/>
          <w:szCs w:val="52"/>
          <w:lang w:eastAsia="zh-CN"/>
        </w:rPr>
        <w:t>群工部</w:t>
      </w: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w:t>
      </w:r>
      <w:r>
        <w:rPr>
          <w:rFonts w:hint="eastAsia" w:ascii="黑体" w:hAnsi="黑体" w:eastAsia="黑体" w:cs="黑体"/>
          <w:sz w:val="32"/>
          <w:szCs w:val="32"/>
          <w:lang w:val="en-US" w:eastAsia="zh-CN"/>
        </w:rPr>
        <w:t>县委</w:t>
      </w:r>
      <w:r>
        <w:rPr>
          <w:rFonts w:hint="eastAsia" w:ascii="黑体" w:hAnsi="黑体" w:eastAsia="黑体" w:cs="黑体"/>
          <w:sz w:val="32"/>
          <w:szCs w:val="32"/>
          <w:lang w:eastAsia="zh-CN"/>
        </w:rPr>
        <w:t>群工部</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郏县</w:t>
      </w:r>
      <w:r>
        <w:rPr>
          <w:rFonts w:hint="eastAsia" w:ascii="黑体" w:hAnsi="黑体" w:eastAsia="黑体" w:cs="黑体"/>
          <w:sz w:val="32"/>
          <w:szCs w:val="32"/>
          <w:lang w:val="en-US" w:eastAsia="zh-CN"/>
        </w:rPr>
        <w:t>县委</w:t>
      </w:r>
      <w:r>
        <w:rPr>
          <w:rFonts w:hint="eastAsia" w:ascii="黑体" w:hAnsi="黑体" w:eastAsia="黑体" w:cs="黑体"/>
          <w:sz w:val="32"/>
          <w:szCs w:val="32"/>
          <w:lang w:eastAsia="zh-CN"/>
        </w:rPr>
        <w:t>群工部</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郏县</w:t>
      </w:r>
      <w:r>
        <w:rPr>
          <w:rFonts w:hint="eastAsia" w:ascii="黑体" w:hAnsi="黑体" w:eastAsia="黑体" w:cs="黑体"/>
          <w:sz w:val="32"/>
          <w:szCs w:val="32"/>
          <w:lang w:val="en-US" w:eastAsia="zh-CN"/>
        </w:rPr>
        <w:t>县委</w:t>
      </w:r>
      <w:r>
        <w:rPr>
          <w:rFonts w:hint="eastAsia" w:ascii="黑体" w:hAnsi="黑体" w:eastAsia="黑体" w:cs="黑体"/>
          <w:sz w:val="32"/>
          <w:szCs w:val="32"/>
          <w:lang w:eastAsia="zh-CN"/>
        </w:rPr>
        <w:t>群工部</w:t>
      </w:r>
      <w:r>
        <w:rPr>
          <w:rFonts w:hint="eastAsia" w:ascii="黑体" w:hAnsi="黑体" w:eastAsia="黑体" w:cs="黑体"/>
          <w:sz w:val="32"/>
          <w:szCs w:val="32"/>
        </w:rPr>
        <w:t>2016年度部门决算情况说明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w:t>
      </w:r>
    </w:p>
    <w:p>
      <w:pPr>
        <w:jc w:val="center"/>
        <w:outlineLvl w:val="0"/>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48"/>
          <w:szCs w:val="48"/>
          <w:lang w:eastAsia="zh-CN"/>
        </w:rPr>
        <w:t>郏县</w:t>
      </w:r>
      <w:r>
        <w:rPr>
          <w:rFonts w:hint="eastAsia" w:ascii="黑体" w:hAnsi="黑体" w:eastAsia="黑体" w:cs="黑体"/>
          <w:sz w:val="48"/>
          <w:szCs w:val="48"/>
          <w:lang w:val="en-US" w:eastAsia="zh-CN"/>
        </w:rPr>
        <w:t>县委群工部</w:t>
      </w:r>
      <w:r>
        <w:rPr>
          <w:rFonts w:hint="eastAsia" w:ascii="隶书" w:hAnsi="隶书" w:eastAsia="隶书" w:cs="隶书"/>
          <w:sz w:val="48"/>
          <w:szCs w:val="48"/>
        </w:rPr>
        <w:t>概况</w:t>
      </w:r>
    </w:p>
    <w:p>
      <w:pPr>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郏县县委</w:t>
      </w:r>
      <w:r>
        <w:rPr>
          <w:rFonts w:hint="eastAsia" w:ascii="宋体" w:hAnsi="宋体" w:eastAsia="宋体" w:cs="宋体"/>
          <w:b/>
          <w:bCs/>
          <w:sz w:val="52"/>
          <w:szCs w:val="52"/>
          <w:lang w:eastAsia="zh-CN"/>
        </w:rPr>
        <w:t>群工部</w:t>
      </w:r>
      <w:r>
        <w:rPr>
          <w:rFonts w:hint="eastAsia" w:ascii="宋体" w:hAnsi="宋体" w:eastAsia="宋体" w:cs="宋体"/>
          <w:b/>
          <w:bCs/>
          <w:sz w:val="52"/>
          <w:szCs w:val="52"/>
        </w:rPr>
        <w:t>概况</w:t>
      </w:r>
    </w:p>
    <w:p>
      <w:pPr>
        <w:jc w:val="center"/>
        <w:rPr>
          <w:rFonts w:hint="eastAsia" w:ascii="仿宋_GB2312" w:hAnsi="微软雅黑" w:eastAsia="仿宋_GB2312"/>
          <w:color w:val="000000"/>
          <w:sz w:val="32"/>
          <w:szCs w:val="32"/>
          <w:lang w:eastAsia="zh-CN"/>
        </w:rPr>
      </w:pPr>
    </w:p>
    <w:p>
      <w:pPr>
        <w:adjustRightInd w:val="0"/>
        <w:snapToGrid w:val="0"/>
        <w:spacing w:line="620" w:lineRule="exact"/>
        <w:ind w:firstLine="640" w:firstLineChars="200"/>
        <w:rPr>
          <w:rFonts w:hint="eastAsia" w:ascii="黑体" w:hAnsi="黑体" w:eastAsia="黑体"/>
          <w:sz w:val="32"/>
          <w:szCs w:val="32"/>
        </w:rPr>
      </w:pPr>
      <w:r>
        <w:rPr>
          <w:rFonts w:hint="eastAsia" w:ascii="黑体" w:hAnsi="黑体" w:eastAsia="黑体"/>
          <w:sz w:val="32"/>
          <w:szCs w:val="32"/>
        </w:rPr>
        <w:t>一、郏县信访局主要职责</w:t>
      </w:r>
    </w:p>
    <w:p>
      <w:pPr>
        <w:spacing w:line="620" w:lineRule="exact"/>
        <w:ind w:firstLine="720" w:firstLineChars="225"/>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ascii="仿宋_GB2312" w:hAnsi="微软雅黑" w:eastAsia="仿宋_GB2312"/>
          <w:color w:val="000000"/>
          <w:sz w:val="32"/>
          <w:szCs w:val="32"/>
        </w:rPr>
        <w:t>一）贯彻执行党中央、国务院、省委、省政府、市委、市政府关于信访工作的方针、政策，接待群众来访，保证信访渠道畅通。督促协调重大疑难信访案件，为来信来访群众提供有关法律、法规和政策咨询服务。（二）承办国家、省、市和县委、县政府领导交办的信访事项，督促检查领导同志批示件的处理和落实，审结要结果案件。</w:t>
      </w:r>
    </w:p>
    <w:p>
      <w:pPr>
        <w:spacing w:line="620" w:lineRule="exact"/>
        <w:ind w:firstLine="720" w:firstLineChars="225"/>
        <w:rPr>
          <w:rFonts w:ascii="仿宋_GB2312" w:hAnsi="微软雅黑" w:eastAsia="仿宋_GB2312"/>
          <w:color w:val="000000"/>
          <w:sz w:val="32"/>
          <w:szCs w:val="32"/>
        </w:rPr>
      </w:pPr>
      <w:r>
        <w:rPr>
          <w:rFonts w:ascii="仿宋_GB2312" w:hAnsi="微软雅黑" w:eastAsia="仿宋_GB2312"/>
          <w:color w:val="000000"/>
          <w:sz w:val="32"/>
          <w:szCs w:val="32"/>
        </w:rPr>
        <w:t>（三）协调处理跨地区、跨部门的重要信访事项、群众赴京到省、市、县上访和突发上访事件；对重要实施个案监督，并提出对有关责任人的处理意见和建议。</w:t>
      </w:r>
    </w:p>
    <w:p>
      <w:pPr>
        <w:spacing w:line="620" w:lineRule="exact"/>
        <w:ind w:firstLine="720" w:firstLineChars="225"/>
        <w:rPr>
          <w:rFonts w:ascii="仿宋_GB2312" w:hAnsi="微软雅黑" w:eastAsia="仿宋_GB2312"/>
          <w:color w:val="000000"/>
          <w:sz w:val="32"/>
          <w:szCs w:val="32"/>
        </w:rPr>
      </w:pPr>
      <w:r>
        <w:rPr>
          <w:rFonts w:ascii="仿宋_GB2312" w:hAnsi="微软雅黑" w:eastAsia="仿宋_GB2312"/>
          <w:color w:val="000000"/>
          <w:sz w:val="32"/>
          <w:szCs w:val="32"/>
        </w:rPr>
        <w:t>（四）分析预测信访形势，深入调查研究，征集人民群众合理化建议，及时向县委、县政府提供信访信息，并对重要问题提出意见和建议。</w:t>
      </w:r>
    </w:p>
    <w:p>
      <w:pPr>
        <w:spacing w:line="620" w:lineRule="exact"/>
        <w:ind w:firstLine="720" w:firstLineChars="225"/>
        <w:rPr>
          <w:rFonts w:ascii="仿宋_GB2312" w:hAnsi="微软雅黑" w:eastAsia="仿宋_GB2312"/>
          <w:color w:val="000000"/>
          <w:sz w:val="32"/>
          <w:szCs w:val="32"/>
        </w:rPr>
      </w:pPr>
      <w:r>
        <w:rPr>
          <w:rFonts w:ascii="仿宋_GB2312" w:hAnsi="微软雅黑" w:eastAsia="仿宋_GB2312"/>
          <w:color w:val="000000"/>
          <w:sz w:val="32"/>
          <w:szCs w:val="32"/>
        </w:rPr>
        <w:t>（五）指导全县信访工作，组织交流工作经验，提出改进措施，协调有关机关、单位查处信访案件。</w:t>
      </w:r>
    </w:p>
    <w:p>
      <w:pPr>
        <w:spacing w:line="620" w:lineRule="exact"/>
        <w:ind w:firstLine="720" w:firstLineChars="225"/>
        <w:rPr>
          <w:rFonts w:ascii="仿宋_GB2312" w:hAnsi="微软雅黑" w:eastAsia="仿宋_GB2312"/>
          <w:color w:val="000000"/>
          <w:sz w:val="32"/>
          <w:szCs w:val="32"/>
        </w:rPr>
      </w:pPr>
      <w:r>
        <w:rPr>
          <w:rFonts w:ascii="仿宋_GB2312" w:hAnsi="微软雅黑" w:eastAsia="仿宋_GB2312"/>
          <w:color w:val="000000"/>
          <w:sz w:val="32"/>
          <w:szCs w:val="32"/>
        </w:rPr>
        <w:t>（六）负责中央、省、市、县人大、政协两会、县重大节日、重要活动的信访保障工作，做好突发事件的应急工作。</w:t>
      </w:r>
    </w:p>
    <w:p>
      <w:pPr>
        <w:spacing w:line="620" w:lineRule="exact"/>
        <w:ind w:firstLine="720" w:firstLineChars="225"/>
        <w:rPr>
          <w:rFonts w:ascii="仿宋_GB2312" w:hAnsi="微软雅黑" w:eastAsia="仿宋_GB2312"/>
          <w:color w:val="000000"/>
          <w:sz w:val="32"/>
          <w:szCs w:val="32"/>
        </w:rPr>
      </w:pPr>
      <w:r>
        <w:rPr>
          <w:rFonts w:ascii="仿宋_GB2312" w:hAnsi="微软雅黑" w:eastAsia="仿宋_GB2312"/>
          <w:color w:val="000000"/>
          <w:sz w:val="32"/>
          <w:szCs w:val="32"/>
        </w:rPr>
        <w:t>（七）负责信访工作的宣传和信息发布；协调信访工作的地区间活动。</w:t>
      </w:r>
    </w:p>
    <w:p>
      <w:pPr>
        <w:spacing w:line="620" w:lineRule="exact"/>
        <w:ind w:firstLine="720" w:firstLineChars="225"/>
        <w:rPr>
          <w:rFonts w:hint="eastAsia" w:ascii="仿宋_GB2312" w:hAnsi="微软雅黑" w:eastAsia="仿宋_GB2312"/>
          <w:color w:val="000000"/>
          <w:sz w:val="32"/>
          <w:szCs w:val="32"/>
        </w:rPr>
      </w:pPr>
      <w:r>
        <w:rPr>
          <w:rFonts w:ascii="仿宋_GB2312" w:hAnsi="微软雅黑" w:eastAsia="仿宋_GB2312"/>
          <w:color w:val="000000"/>
          <w:sz w:val="32"/>
          <w:szCs w:val="32"/>
        </w:rPr>
        <w:t>（八）承办县委、县政府交办的其他事项。</w:t>
      </w:r>
    </w:p>
    <w:p>
      <w:pPr>
        <w:adjustRightInd w:val="0"/>
        <w:snapToGrid w:val="0"/>
        <w:spacing w:line="620" w:lineRule="exact"/>
        <w:ind w:firstLine="640" w:firstLineChars="200"/>
        <w:rPr>
          <w:rFonts w:hint="eastAsia" w:ascii="黑体" w:hAnsi="黑体" w:eastAsia="黑体"/>
          <w:sz w:val="32"/>
          <w:szCs w:val="32"/>
        </w:rPr>
      </w:pPr>
      <w:r>
        <w:rPr>
          <w:rFonts w:hint="eastAsia" w:ascii="黑体" w:hAnsi="黑体" w:eastAsia="黑体"/>
          <w:sz w:val="32"/>
          <w:szCs w:val="32"/>
        </w:rPr>
        <w:t>二、郏县信访局</w:t>
      </w:r>
      <w:r>
        <w:rPr>
          <w:rFonts w:hint="eastAsia" w:ascii="黑体" w:hAnsi="黑体" w:eastAsia="黑体"/>
          <w:sz w:val="32"/>
          <w:szCs w:val="32"/>
          <w:lang w:val="en-US" w:eastAsia="zh-CN"/>
        </w:rPr>
        <w:t>决算</w:t>
      </w:r>
      <w:r>
        <w:rPr>
          <w:rFonts w:hint="eastAsia" w:ascii="黑体" w:hAnsi="黑体" w:eastAsia="黑体"/>
          <w:sz w:val="32"/>
          <w:szCs w:val="32"/>
        </w:rPr>
        <w:t>单位构成</w:t>
      </w:r>
    </w:p>
    <w:p>
      <w:pPr>
        <w:adjustRightInd w:val="0"/>
        <w:snapToGrid w:val="0"/>
        <w:spacing w:line="62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郏县信访局部门预算包括局机关本级预算</w:t>
      </w:r>
      <w:r>
        <w:rPr>
          <w:rFonts w:ascii="仿宋_GB2312" w:hAnsi="微软雅黑" w:eastAsia="仿宋_GB2312"/>
          <w:color w:val="000000"/>
          <w:sz w:val="32"/>
          <w:szCs w:val="32"/>
        </w:rPr>
        <w:t>。</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footerReference r:id="rId5" w:type="default"/>
          <w:pgSz w:w="11906" w:h="16838"/>
          <w:pgMar w:top="1440" w:right="1531" w:bottom="1440" w:left="1587" w:header="850" w:footer="992" w:gutter="0"/>
          <w:pgNumType w:fmt="numberInDash"/>
          <w:cols w:space="720" w:num="1"/>
          <w:rtlGutter w:val="0"/>
          <w:docGrid w:type="lines" w:linePitch="317"/>
        </w:sectPr>
      </w:pPr>
      <w:r>
        <w:rPr>
          <w:rFonts w:hint="eastAsia" w:ascii="宋体" w:hAnsi="宋体" w:eastAsia="宋体" w:cs="宋体"/>
          <w:b/>
          <w:bCs/>
          <w:sz w:val="52"/>
          <w:szCs w:val="52"/>
          <w:lang w:val="en-US" w:eastAsia="zh-CN"/>
        </w:rPr>
        <w:t>郏县县委</w:t>
      </w:r>
      <w:r>
        <w:rPr>
          <w:rFonts w:hint="eastAsia" w:ascii="宋体" w:hAnsi="宋体" w:eastAsia="宋体" w:cs="宋体"/>
          <w:b/>
          <w:bCs/>
          <w:sz w:val="52"/>
          <w:szCs w:val="52"/>
          <w:lang w:eastAsia="zh-CN"/>
        </w:rPr>
        <w:t>群工部</w:t>
      </w:r>
      <w:r>
        <w:rPr>
          <w:rFonts w:hint="eastAsia" w:ascii="隶书" w:hAnsi="隶书" w:eastAsia="隶书" w:cs="隶书"/>
          <w:sz w:val="48"/>
          <w:szCs w:val="48"/>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553.8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489.88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22.41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553.8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512.29</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135.5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177.01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689.3</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689.3</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561"/>
        <w:gridCol w:w="569"/>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561" w:type="dxa"/>
            <w:vAlign w:val="center"/>
          </w:tcPr>
          <w:p>
            <w:pPr>
              <w:rPr>
                <w:rFonts w:hint="eastAsia" w:ascii="宋体" w:hAnsi="宋体" w:eastAsia="宋体" w:cs="宋体"/>
                <w:i w:val="0"/>
                <w:color w:val="000000"/>
                <w:sz w:val="16"/>
                <w:szCs w:val="16"/>
                <w:u w:val="none"/>
              </w:rPr>
            </w:pPr>
          </w:p>
        </w:tc>
        <w:tc>
          <w:tcPr>
            <w:tcW w:w="1379"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561" w:type="dxa"/>
            <w:vAlign w:val="center"/>
          </w:tcPr>
          <w:p>
            <w:pPr>
              <w:rPr>
                <w:rFonts w:hint="eastAsia" w:ascii="宋体" w:hAnsi="宋体" w:eastAsia="宋体" w:cs="宋体"/>
                <w:i w:val="0"/>
                <w:color w:val="000000"/>
                <w:sz w:val="16"/>
                <w:szCs w:val="16"/>
                <w:u w:val="none"/>
              </w:rPr>
            </w:pPr>
          </w:p>
        </w:tc>
        <w:tc>
          <w:tcPr>
            <w:tcW w:w="1379"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3198"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56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56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319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3198"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bCs w:val="0"/>
                <w:i w:val="0"/>
                <w:color w:val="000000"/>
                <w:sz w:val="16"/>
                <w:szCs w:val="16"/>
                <w:u w:val="none"/>
                <w:lang w:val="en-US" w:eastAsia="zh-CN"/>
              </w:rPr>
              <w:t>553.80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bCs w:val="0"/>
                <w:i w:val="0"/>
                <w:color w:val="000000"/>
                <w:sz w:val="16"/>
                <w:szCs w:val="16"/>
                <w:u w:val="none"/>
                <w:lang w:val="en-US" w:eastAsia="zh-CN"/>
              </w:rPr>
              <w:t>553.80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531.39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val="0"/>
                <w:bCs/>
                <w:i w:val="0"/>
                <w:color w:val="000000"/>
                <w:sz w:val="16"/>
                <w:szCs w:val="16"/>
                <w:u w:val="none"/>
                <w:lang w:val="en-US" w:eastAsia="zh-CN"/>
              </w:rPr>
              <w:t>531.39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20103</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政府办公厅（室）及相关机构事务</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rPr>
            </w:pPr>
            <w:r>
              <w:rPr>
                <w:rFonts w:hint="eastAsia" w:ascii="宋体" w:hAnsi="宋体" w:eastAsia="宋体" w:cs="宋体"/>
                <w:b w:val="0"/>
                <w:bCs/>
                <w:i w:val="0"/>
                <w:color w:val="000000"/>
                <w:sz w:val="16"/>
                <w:szCs w:val="16"/>
                <w:u w:val="none"/>
                <w:lang w:val="en-US" w:eastAsia="zh-CN"/>
              </w:rPr>
              <w:t>531.39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bCs/>
                <w:i w:val="0"/>
                <w:color w:val="000000"/>
                <w:sz w:val="16"/>
                <w:szCs w:val="16"/>
                <w:u w:val="none"/>
                <w:lang w:val="en-US" w:eastAsia="zh-CN"/>
              </w:rPr>
              <w:t>531.39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2010301</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rPr>
            </w:pPr>
            <w:r>
              <w:rPr>
                <w:rFonts w:hint="eastAsia" w:ascii="宋体" w:hAnsi="宋体" w:eastAsia="宋体" w:cs="宋体"/>
                <w:b w:val="0"/>
                <w:bCs/>
                <w:i w:val="0"/>
                <w:color w:val="000000"/>
                <w:sz w:val="16"/>
                <w:szCs w:val="16"/>
                <w:u w:val="none"/>
                <w:lang w:val="en-US" w:eastAsia="zh-CN"/>
              </w:rPr>
              <w:t>273.59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bCs/>
                <w:i w:val="0"/>
                <w:color w:val="000000"/>
                <w:sz w:val="16"/>
                <w:szCs w:val="16"/>
                <w:u w:val="none"/>
                <w:lang w:val="en-US" w:eastAsia="zh-CN"/>
              </w:rPr>
              <w:t>273.59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2010308</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信访事务</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257.8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bCs/>
                <w:i w:val="0"/>
                <w:color w:val="000000"/>
                <w:sz w:val="16"/>
                <w:szCs w:val="16"/>
                <w:u w:val="none"/>
                <w:lang w:val="en-US" w:eastAsia="zh-CN"/>
              </w:rPr>
              <w:t>257.8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57"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社会保障和就业支出</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22.41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bCs/>
                <w:i w:val="0"/>
                <w:color w:val="000000"/>
                <w:sz w:val="16"/>
                <w:szCs w:val="16"/>
                <w:u w:val="none"/>
                <w:lang w:val="en-US" w:eastAsia="zh-CN"/>
              </w:rPr>
              <w:t>22.41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行政事业单位离退休</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rPr>
            </w:pPr>
            <w:r>
              <w:rPr>
                <w:rFonts w:hint="eastAsia" w:ascii="宋体" w:hAnsi="宋体" w:eastAsia="宋体" w:cs="宋体"/>
                <w:b w:val="0"/>
                <w:bCs/>
                <w:i w:val="0"/>
                <w:color w:val="000000"/>
                <w:sz w:val="16"/>
                <w:szCs w:val="16"/>
                <w:u w:val="none"/>
                <w:lang w:val="en-US" w:eastAsia="zh-CN"/>
              </w:rPr>
              <w:t>22.41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bCs/>
                <w:i w:val="0"/>
                <w:color w:val="000000"/>
                <w:sz w:val="16"/>
                <w:szCs w:val="16"/>
                <w:u w:val="none"/>
                <w:lang w:val="en-US" w:eastAsia="zh-CN"/>
              </w:rPr>
              <w:t>22.41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2080501</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归口管理的行政事业单位离退休</w:t>
            </w: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rPr>
            </w:pPr>
            <w:r>
              <w:rPr>
                <w:rFonts w:hint="eastAsia" w:ascii="宋体" w:hAnsi="宋体" w:eastAsia="宋体" w:cs="宋体"/>
                <w:b w:val="0"/>
                <w:bCs/>
                <w:i w:val="0"/>
                <w:color w:val="000000"/>
                <w:sz w:val="16"/>
                <w:szCs w:val="16"/>
                <w:u w:val="none"/>
                <w:lang w:val="en-US" w:eastAsia="zh-CN"/>
              </w:rPr>
              <w:t>22.41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b w:val="0"/>
                <w:bCs/>
                <w:i w:val="0"/>
                <w:color w:val="000000"/>
                <w:sz w:val="16"/>
                <w:szCs w:val="16"/>
                <w:u w:val="none"/>
                <w:lang w:val="en-US" w:eastAsia="zh-CN"/>
              </w:rPr>
              <w:t>22.41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2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2523"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569"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700"/>
        <w:gridCol w:w="980"/>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700" w:type="dxa"/>
            <w:vAlign w:val="center"/>
          </w:tcPr>
          <w:p>
            <w:pPr>
              <w:rPr>
                <w:rFonts w:ascii="宋体" w:hAnsi="宋体" w:eastAsia="宋体" w:cs="宋体"/>
                <w:color w:val="000000"/>
                <w:sz w:val="16"/>
                <w:szCs w:val="16"/>
              </w:rPr>
            </w:pPr>
          </w:p>
        </w:tc>
        <w:tc>
          <w:tcPr>
            <w:tcW w:w="980"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700" w:type="dxa"/>
            <w:vAlign w:val="center"/>
          </w:tcPr>
          <w:p>
            <w:pPr>
              <w:rPr>
                <w:rFonts w:ascii="宋体" w:hAnsi="宋体" w:eastAsia="宋体" w:cs="宋体"/>
                <w:color w:val="000000"/>
                <w:sz w:val="16"/>
                <w:szCs w:val="16"/>
              </w:rPr>
            </w:pPr>
          </w:p>
        </w:tc>
        <w:tc>
          <w:tcPr>
            <w:tcW w:w="980"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8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4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4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8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8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512.29</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365.99</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146.3</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201</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一般公共服务支出</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489.88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343.58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146.3</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20103</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政府办公厅（室）及相关机构事务</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489.88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343.58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146.3</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2010301</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255.68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255.68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2010308</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信访事务</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234.2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87.9</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146.3</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社会保障和就业支出</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行政事业单位离退休</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2080501</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归口管理的行政事业单位离退休</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43"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553.8</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489.88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489.88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553.8</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512.29</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512.29</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135.5</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177.01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177.01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135.5</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689.3</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689.3</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689.3</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147"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512.29</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365.99</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146.3</w:t>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489.88</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343.58</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146.3</w:t>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489.88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343.58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146.3</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255.68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255.68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信访事务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234.2</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87.9</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146.3</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归口管理的行政事业单位离退休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160.96</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174.84</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97.76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17.64</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43.22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0.7</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12.74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7.24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0.54</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7.56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2.79</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5.76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27.05</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113.34</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22.41</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4.31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0.56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1.09</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2.73</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6.23</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2.74</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t>人员经费合计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b/>
                <w:bCs/>
                <w:color w:val="000000"/>
                <w:sz w:val="16"/>
                <w:szCs w:val="16"/>
                <w:lang w:val="en-US" w:eastAsia="zh-CN"/>
              </w:rPr>
              <w:t>188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3.15</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3.15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9.54</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7.06</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7.06</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2.48</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i w:val="0"/>
                <w:color w:val="000000"/>
                <w:sz w:val="16"/>
                <w:szCs w:val="16"/>
                <w:u w:val="none"/>
                <w:lang w:val="en-US" w:eastAsia="zh-CN"/>
              </w:rPr>
              <w:t>9.54</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7.06</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7.06</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2.48</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2"/>
        </w:numPr>
        <w:jc w:val="center"/>
        <w:outlineLvl w:val="0"/>
        <w:rPr>
          <w:rFonts w:hint="eastAsia" w:ascii="隶书" w:hAnsi="隶书" w:eastAsia="隶书" w:cs="隶书"/>
          <w:sz w:val="48"/>
          <w:szCs w:val="48"/>
        </w:rPr>
      </w:pPr>
      <w:r>
        <w:rPr>
          <w:rFonts w:hint="eastAsia" w:ascii="隶书" w:hAnsi="隶书" w:eastAsia="隶书" w:cs="隶书"/>
          <w:sz w:val="48"/>
          <w:szCs w:val="48"/>
        </w:rPr>
        <w:t>分</w:t>
      </w:r>
    </w:p>
    <w:p>
      <w:pPr>
        <w:numPr>
          <w:numId w:val="0"/>
        </w:numPr>
        <w:jc w:val="center"/>
        <w:outlineLvl w:val="0"/>
        <w:rPr>
          <w:rFonts w:hint="eastAsia" w:ascii="隶书" w:hAnsi="隶书" w:eastAsia="隶书" w:cs="隶书"/>
          <w:sz w:val="48"/>
          <w:szCs w:val="48"/>
          <w:lang w:val="en-US" w:eastAsia="zh-CN"/>
        </w:rPr>
      </w:pPr>
      <w:r>
        <w:rPr>
          <w:rFonts w:hint="eastAsia" w:ascii="隶书" w:hAnsi="隶书" w:eastAsia="隶书" w:cs="隶书"/>
          <w:sz w:val="48"/>
          <w:szCs w:val="48"/>
          <w:lang w:val="en-US" w:eastAsia="zh-CN"/>
        </w:rPr>
        <w:t>郏县县委群工部</w:t>
      </w: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pStyle w:val="5"/>
        <w:shd w:val="clear" w:color="auto" w:fill="FFFFFF"/>
        <w:spacing w:before="0" w:beforeAutospacing="0" w:after="0" w:afterAutospacing="0" w:line="560" w:lineRule="exact"/>
        <w:ind w:firstLine="536"/>
        <w:rPr>
          <w:rFonts w:ascii="黑体" w:hAnsi="黑体" w:eastAsia="黑体"/>
          <w:sz w:val="32"/>
          <w:szCs w:val="32"/>
        </w:rPr>
      </w:pPr>
      <w:r>
        <w:rPr>
          <w:rFonts w:hint="eastAsia" w:ascii="黑体" w:hAnsi="微软雅黑" w:eastAsia="黑体"/>
          <w:b/>
          <w:color w:val="000000"/>
          <w:sz w:val="32"/>
          <w:szCs w:val="32"/>
          <w:lang w:eastAsia="zh-CN"/>
        </w:rPr>
        <w:t>一、</w:t>
      </w: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微软雅黑" w:eastAsia="仿宋_GB2312"/>
          <w:color w:val="000000"/>
          <w:sz w:val="32"/>
          <w:szCs w:val="32"/>
          <w:lang w:val="en-US" w:eastAsia="zh-CN"/>
        </w:rPr>
        <w:t>553.8</w:t>
      </w:r>
      <w:r>
        <w:rPr>
          <w:rFonts w:hint="eastAsia" w:ascii="仿宋_GB2312" w:hAnsi="宋体" w:eastAsia="仿宋_GB2312" w:cs="Courier New"/>
          <w:sz w:val="32"/>
          <w:szCs w:val="32"/>
        </w:rPr>
        <w:t>万元，支出总计</w:t>
      </w:r>
      <w:r>
        <w:rPr>
          <w:rFonts w:hint="eastAsia" w:ascii="仿宋_GB2312" w:hAnsi="微软雅黑" w:eastAsia="仿宋_GB2312"/>
          <w:color w:val="000000"/>
          <w:sz w:val="32"/>
          <w:szCs w:val="32"/>
          <w:lang w:val="en-US" w:eastAsia="zh-CN"/>
        </w:rPr>
        <w:t>512.29</w:t>
      </w:r>
      <w:r>
        <w:rPr>
          <w:rFonts w:hint="eastAsia" w:ascii="仿宋_GB2312" w:hAnsi="宋体" w:eastAsia="仿宋_GB2312" w:cs="Courier New"/>
          <w:sz w:val="32"/>
          <w:szCs w:val="32"/>
        </w:rPr>
        <w:t>万元，与2015年相比，</w:t>
      </w:r>
      <w:r>
        <w:rPr>
          <w:rFonts w:hint="eastAsia" w:ascii="仿宋_GB2312" w:hAnsi="宋体" w:eastAsia="仿宋_GB2312" w:cs="Courier New"/>
          <w:sz w:val="32"/>
          <w:szCs w:val="32"/>
          <w:lang w:val="en-US" w:eastAsia="zh-CN"/>
        </w:rPr>
        <w:t>2015年度</w:t>
      </w:r>
      <w:r>
        <w:rPr>
          <w:rFonts w:hint="eastAsia" w:ascii="仿宋_GB2312" w:hAnsi="宋体" w:eastAsia="仿宋_GB2312" w:cs="Courier New"/>
          <w:sz w:val="32"/>
          <w:szCs w:val="32"/>
        </w:rPr>
        <w:t>收入总计</w:t>
      </w:r>
      <w:r>
        <w:rPr>
          <w:rFonts w:hint="eastAsia" w:ascii="仿宋" w:hAnsi="仿宋" w:eastAsia="仿宋" w:cs="仿宋"/>
          <w:color w:val="000000"/>
          <w:sz w:val="32"/>
          <w:szCs w:val="32"/>
        </w:rPr>
        <w:t>407.88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,收入总计增加145.92万元，</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35.77</w:t>
      </w:r>
      <w:r>
        <w:rPr>
          <w:rFonts w:hint="eastAsia" w:ascii="仿宋_GB2312" w:hAnsi="宋体" w:eastAsia="仿宋_GB2312" w:cs="Courier New"/>
          <w:sz w:val="32"/>
          <w:szCs w:val="32"/>
        </w:rPr>
        <w:t>%。支</w:t>
      </w:r>
      <w:r>
        <w:rPr>
          <w:rFonts w:hint="eastAsia" w:ascii="仿宋_GB2312" w:hAnsi="宋体" w:eastAsia="仿宋_GB2312" w:cs="Courier New"/>
          <w:sz w:val="32"/>
          <w:szCs w:val="32"/>
          <w:lang w:val="en-US" w:eastAsia="zh-CN"/>
        </w:rPr>
        <w:t>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val="en-US" w:eastAsia="zh-CN"/>
        </w:rPr>
        <w:t>减少14.72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减少2.79</w:t>
      </w:r>
      <w:r>
        <w:rPr>
          <w:rFonts w:hint="eastAsia" w:ascii="仿宋_GB2312" w:hAnsi="宋体" w:eastAsia="仿宋_GB2312" w:cs="Courier New"/>
          <w:sz w:val="32"/>
          <w:szCs w:val="32"/>
        </w:rPr>
        <w:t>%。</w:t>
      </w:r>
    </w:p>
    <w:p>
      <w:pPr>
        <w:numPr>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关于收入决算情况说明</w:t>
      </w:r>
    </w:p>
    <w:p>
      <w:pPr>
        <w:numPr>
          <w:numId w:val="0"/>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微软雅黑" w:eastAsia="仿宋_GB2312"/>
          <w:color w:val="000000"/>
          <w:sz w:val="32"/>
          <w:szCs w:val="32"/>
          <w:lang w:val="en-US" w:eastAsia="zh-CN"/>
        </w:rPr>
        <w:t>553.8</w:t>
      </w:r>
      <w:r>
        <w:rPr>
          <w:rFonts w:hint="eastAsia" w:ascii="仿宋_GB2312" w:hAnsi="Times New Roman" w:eastAsia="仿宋_GB2312"/>
          <w:sz w:val="32"/>
          <w:szCs w:val="32"/>
        </w:rPr>
        <w:t>万元，其中：财政拨款收入</w:t>
      </w:r>
      <w:r>
        <w:rPr>
          <w:rFonts w:hint="eastAsia" w:ascii="仿宋_GB2312" w:hAnsi="微软雅黑" w:eastAsia="仿宋_GB2312"/>
          <w:color w:val="000000"/>
          <w:sz w:val="32"/>
          <w:szCs w:val="32"/>
          <w:lang w:val="en-US" w:eastAsia="zh-CN"/>
        </w:rPr>
        <w:t>553.8</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黑体" w:hAnsi="黑体" w:eastAsia="黑体"/>
          <w:sz w:val="32"/>
          <w:szCs w:val="32"/>
          <w:lang w:val="en-US" w:eastAsia="zh-CN"/>
        </w:rPr>
        <w:t xml:space="preserve"> </w:t>
      </w:r>
    </w:p>
    <w:p>
      <w:pPr>
        <w:numPr>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微软雅黑" w:eastAsia="仿宋_GB2312"/>
          <w:color w:val="000000"/>
          <w:sz w:val="32"/>
          <w:szCs w:val="32"/>
          <w:lang w:val="en-US" w:eastAsia="zh-CN"/>
        </w:rPr>
        <w:t>512.29</w:t>
      </w:r>
      <w:r>
        <w:rPr>
          <w:rFonts w:hint="eastAsia" w:ascii="仿宋_GB2312" w:hAnsi="宋体" w:eastAsia="仿宋_GB2312" w:cs="Courier New"/>
          <w:sz w:val="32"/>
          <w:szCs w:val="32"/>
        </w:rPr>
        <w:t>万元，其中：基本支出</w:t>
      </w:r>
      <w:r>
        <w:rPr>
          <w:rFonts w:hint="eastAsia" w:ascii="仿宋_GB2312" w:hAnsi="微软雅黑" w:eastAsia="仿宋_GB2312"/>
          <w:color w:val="000000"/>
          <w:sz w:val="32"/>
          <w:szCs w:val="32"/>
          <w:lang w:val="en-US" w:eastAsia="zh-CN"/>
        </w:rPr>
        <w:t>365.99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71.44</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微软雅黑" w:eastAsia="仿宋_GB2312"/>
          <w:color w:val="000000"/>
          <w:sz w:val="32"/>
          <w:szCs w:val="32"/>
          <w:lang w:val="en-US" w:eastAsia="zh-CN"/>
        </w:rPr>
        <w:t>146.3</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28.56</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微软雅黑" w:eastAsia="仿宋_GB2312"/>
          <w:color w:val="000000"/>
          <w:sz w:val="32"/>
          <w:szCs w:val="32"/>
          <w:lang w:val="en-US" w:eastAsia="zh-CN"/>
        </w:rPr>
        <w:t>553.8</w:t>
      </w:r>
      <w:r>
        <w:rPr>
          <w:rFonts w:hint="eastAsia" w:ascii="仿宋_GB2312" w:hAnsi="宋体" w:eastAsia="仿宋_GB2312" w:cs="Courier New"/>
          <w:sz w:val="32"/>
          <w:szCs w:val="32"/>
        </w:rPr>
        <w:t>万元，支出总计</w:t>
      </w:r>
      <w:r>
        <w:rPr>
          <w:rFonts w:hint="eastAsia" w:ascii="仿宋_GB2312" w:hAnsi="微软雅黑" w:eastAsia="仿宋_GB2312"/>
          <w:color w:val="000000"/>
          <w:sz w:val="32"/>
          <w:szCs w:val="32"/>
          <w:lang w:val="en-US" w:eastAsia="zh-CN"/>
        </w:rPr>
        <w:t>512.29</w:t>
      </w:r>
      <w:r>
        <w:rPr>
          <w:rFonts w:hint="eastAsia" w:ascii="仿宋_GB2312" w:hAnsi="宋体" w:eastAsia="仿宋_GB2312" w:cs="Courier New"/>
          <w:sz w:val="32"/>
          <w:szCs w:val="32"/>
        </w:rPr>
        <w:t>万元，与2015年相比，</w:t>
      </w:r>
      <w:r>
        <w:rPr>
          <w:rFonts w:hint="eastAsia" w:ascii="仿宋_GB2312" w:hAnsi="宋体" w:eastAsia="仿宋_GB2312" w:cs="Courier New"/>
          <w:sz w:val="32"/>
          <w:szCs w:val="32"/>
          <w:lang w:val="en-US" w:eastAsia="zh-CN"/>
        </w:rPr>
        <w:t>2015年度</w:t>
      </w:r>
      <w:r>
        <w:rPr>
          <w:rFonts w:hint="eastAsia" w:ascii="仿宋_GB2312" w:hAnsi="宋体" w:eastAsia="仿宋_GB2312" w:cs="Courier New"/>
          <w:sz w:val="32"/>
          <w:szCs w:val="32"/>
        </w:rPr>
        <w:t>收入总计</w:t>
      </w:r>
      <w:r>
        <w:rPr>
          <w:rFonts w:hint="eastAsia" w:ascii="仿宋" w:hAnsi="仿宋" w:eastAsia="仿宋" w:cs="仿宋"/>
          <w:color w:val="000000"/>
          <w:sz w:val="32"/>
          <w:szCs w:val="32"/>
        </w:rPr>
        <w:t>407.88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,收入总计增加145.92万元，</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35.77</w:t>
      </w:r>
      <w:r>
        <w:rPr>
          <w:rFonts w:hint="eastAsia" w:ascii="仿宋_GB2312" w:hAnsi="宋体" w:eastAsia="仿宋_GB2312" w:cs="Courier New"/>
          <w:sz w:val="32"/>
          <w:szCs w:val="32"/>
        </w:rPr>
        <w:t>%。支</w:t>
      </w:r>
      <w:r>
        <w:rPr>
          <w:rFonts w:hint="eastAsia" w:ascii="仿宋_GB2312" w:hAnsi="宋体" w:eastAsia="仿宋_GB2312" w:cs="Courier New"/>
          <w:sz w:val="32"/>
          <w:szCs w:val="32"/>
          <w:lang w:val="en-US" w:eastAsia="zh-CN"/>
        </w:rPr>
        <w:t>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val="en-US" w:eastAsia="zh-CN"/>
        </w:rPr>
        <w:t>减少14.72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减少2.79</w:t>
      </w:r>
      <w:r>
        <w:rPr>
          <w:rFonts w:hint="eastAsia" w:ascii="仿宋_GB2312" w:hAnsi="宋体" w:eastAsia="仿宋_GB2312" w:cs="Courier New"/>
          <w:sz w:val="32"/>
          <w:szCs w:val="32"/>
        </w:rPr>
        <w:t>%。</w:t>
      </w:r>
    </w:p>
    <w:p>
      <w:pPr>
        <w:numPr>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微软雅黑" w:eastAsia="仿宋_GB2312"/>
          <w:color w:val="000000"/>
          <w:sz w:val="32"/>
          <w:szCs w:val="32"/>
          <w:lang w:val="en-US" w:eastAsia="zh-CN"/>
        </w:rPr>
        <w:t>512.29</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w:t>
      </w:r>
      <w:r>
        <w:rPr>
          <w:rFonts w:hint="eastAsia" w:ascii="仿宋_GB2312" w:hAnsi="宋体" w:eastAsia="仿宋_GB2312" w:cs="Courier New"/>
          <w:sz w:val="32"/>
          <w:szCs w:val="32"/>
          <w:lang w:val="en-US" w:eastAsia="zh-CN"/>
        </w:rPr>
        <w:t>减少14.72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减少2.79</w:t>
      </w:r>
      <w:r>
        <w:rPr>
          <w:rFonts w:hint="eastAsia" w:ascii="仿宋_GB2312" w:hAnsi="宋体" w:eastAsia="仿宋_GB2312" w:cs="Courier New"/>
          <w:sz w:val="32"/>
          <w:szCs w:val="32"/>
        </w:rPr>
        <w:t>%。</w:t>
      </w:r>
    </w:p>
    <w:p>
      <w:pPr>
        <w:numPr>
          <w:numId w:val="0"/>
        </w:num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微软雅黑" w:eastAsia="仿宋_GB2312"/>
          <w:color w:val="000000"/>
          <w:sz w:val="32"/>
          <w:szCs w:val="32"/>
          <w:lang w:val="en-US" w:eastAsia="zh-CN"/>
        </w:rPr>
        <w:t>512.29</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微软雅黑" w:eastAsia="仿宋_GB2312"/>
          <w:color w:val="000000"/>
          <w:sz w:val="32"/>
          <w:szCs w:val="32"/>
          <w:lang w:val="en-US" w:eastAsia="zh-CN"/>
        </w:rPr>
        <w:t>489.88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95.62</w:t>
      </w:r>
      <w:r>
        <w:rPr>
          <w:rFonts w:hint="eastAsia" w:ascii="仿宋_GB2312" w:hAnsi="宋体" w:eastAsia="仿宋_GB2312" w:cs="Courier New"/>
          <w:sz w:val="32"/>
          <w:szCs w:val="32"/>
        </w:rPr>
        <w:t>%；</w:t>
      </w:r>
      <w:r>
        <w:rPr>
          <w:rFonts w:hint="eastAsia" w:ascii="仿宋_GB2312" w:hAnsi="微软雅黑" w:eastAsia="仿宋_GB2312" w:cs="宋体"/>
          <w:b/>
          <w:bCs/>
          <w:color w:val="000000"/>
          <w:kern w:val="0"/>
          <w:sz w:val="32"/>
          <w:szCs w:val="32"/>
          <w:lang w:val="en-US" w:eastAsia="zh-CN" w:bidi="ar-SA"/>
        </w:rPr>
        <w:t>归口管理的行政单位离退休</w:t>
      </w:r>
      <w:r>
        <w:rPr>
          <w:rFonts w:hint="eastAsia" w:ascii="仿宋_GB2312" w:hAnsi="微软雅黑" w:eastAsia="仿宋_GB2312"/>
          <w:color w:val="000000"/>
          <w:sz w:val="32"/>
          <w:szCs w:val="32"/>
          <w:lang w:val="en-US" w:eastAsia="zh-CN"/>
        </w:rPr>
        <w:t>22.41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4.38</w:t>
      </w:r>
      <w:r>
        <w:rPr>
          <w:rFonts w:hint="eastAsia" w:ascii="仿宋_GB2312" w:hAnsi="宋体" w:eastAsia="仿宋_GB2312" w:cs="Courier New"/>
          <w:sz w:val="32"/>
          <w:szCs w:val="32"/>
        </w:rPr>
        <w:t>%。</w:t>
      </w:r>
    </w:p>
    <w:p>
      <w:pPr>
        <w:numPr>
          <w:numId w:val="0"/>
        </w:numPr>
        <w:adjustRightInd w:val="0"/>
        <w:snapToGrid w:val="0"/>
        <w:spacing w:line="360" w:lineRule="auto"/>
        <w:ind w:left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303.0</w:t>
      </w:r>
      <w:r>
        <w:rPr>
          <w:rFonts w:hint="eastAsia" w:ascii="仿宋_GB2312" w:hAnsi="宋体" w:eastAsia="仿宋_GB2312" w:cs="Courier New"/>
          <w:sz w:val="32"/>
          <w:szCs w:val="32"/>
        </w:rPr>
        <w:t>万元，支出决算为</w:t>
      </w:r>
      <w:r>
        <w:rPr>
          <w:rFonts w:hint="eastAsia" w:ascii="仿宋_GB2312" w:hAnsi="微软雅黑" w:eastAsia="仿宋_GB2312"/>
          <w:color w:val="000000"/>
          <w:sz w:val="32"/>
          <w:szCs w:val="32"/>
          <w:lang w:val="en-US" w:eastAsia="zh-CN"/>
        </w:rPr>
        <w:t>512.29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169</w:t>
      </w:r>
      <w:r>
        <w:rPr>
          <w:rFonts w:hint="eastAsia" w:ascii="仿宋_GB2312" w:hAnsi="宋体" w:eastAsia="仿宋_GB2312" w:cs="Courier New"/>
          <w:sz w:val="32"/>
          <w:szCs w:val="32"/>
        </w:rPr>
        <w:t>%。决算数大于预算数的主要原因：一是</w:t>
      </w:r>
      <w:r>
        <w:rPr>
          <w:rFonts w:hint="eastAsia" w:ascii="仿宋_GB2312" w:hAnsi="宋体" w:eastAsia="仿宋_GB2312" w:cs="Courier New"/>
          <w:sz w:val="32"/>
          <w:szCs w:val="32"/>
          <w:lang w:eastAsia="zh-CN"/>
        </w:rPr>
        <w:t>人员工资及社保费增加；二是机关办公楼维修</w:t>
      </w:r>
      <w:r>
        <w:rPr>
          <w:rFonts w:hint="eastAsia" w:ascii="仿宋_GB2312" w:hAnsi="宋体" w:eastAsia="仿宋_GB2312" w:cs="Courier New"/>
          <w:sz w:val="32"/>
          <w:szCs w:val="32"/>
        </w:rPr>
        <w:t>。其中：</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489.88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489.88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val="en-US" w:eastAsia="zh-CN"/>
        </w:rPr>
        <w:t>等于</w:t>
      </w:r>
      <w:r>
        <w:rPr>
          <w:rFonts w:hint="eastAsia" w:ascii="仿宋_GB2312" w:hAnsi="宋体" w:eastAsia="仿宋_GB2312" w:cs="Courier New"/>
          <w:sz w:val="32"/>
          <w:szCs w:val="32"/>
        </w:rPr>
        <w:t>预算数。</w:t>
      </w:r>
    </w:p>
    <w:p>
      <w:pPr>
        <w:numPr>
          <w:ilvl w:val="0"/>
          <w:numId w:val="4"/>
        </w:numPr>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22.4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22.4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val="en-US" w:eastAsia="zh-CN"/>
        </w:rPr>
        <w:t>等于</w:t>
      </w:r>
      <w:r>
        <w:rPr>
          <w:rFonts w:hint="eastAsia" w:ascii="仿宋_GB2312" w:hAnsi="宋体" w:eastAsia="仿宋_GB2312" w:cs="Courier New"/>
          <w:sz w:val="32"/>
          <w:szCs w:val="32"/>
        </w:rPr>
        <w:t>预算数。</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369.15</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188.01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val="en-US" w:eastAsia="zh-CN"/>
        </w:rPr>
        <w:t>奖金、其他社会保障缴费、退休费、救济费等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181.14</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印刷费、水费、电费、邮电费、物业管理费、差旅费、维修费、租赁费、会议费、培训费、公务接待费、福利费、公务用车运行维护费、其他交通费</w:t>
      </w:r>
      <w:r>
        <w:rPr>
          <w:rFonts w:hint="eastAsia" w:ascii="仿宋_GB2312" w:hAnsi="宋体" w:eastAsia="仿宋_GB2312" w:cs="Courier New"/>
          <w:sz w:val="32"/>
          <w:szCs w:val="32"/>
          <w:lang w:eastAsia="zh-CN"/>
        </w:rPr>
        <w:t>等</w:t>
      </w:r>
      <w:r>
        <w:rPr>
          <w:rFonts w:hint="eastAsia" w:ascii="仿宋_GB2312" w:hAnsi="宋体" w:eastAsia="仿宋_GB2312" w:cs="Courier New"/>
          <w:sz w:val="32"/>
          <w:szCs w:val="32"/>
        </w:rPr>
        <w:t>。</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w:t>
      </w:r>
      <w:r>
        <w:rPr>
          <w:rFonts w:hint="eastAsia" w:ascii="黑体" w:hAnsi="黑体" w:eastAsia="黑体"/>
          <w:sz w:val="32"/>
          <w:szCs w:val="32"/>
          <w:lang w:eastAsia="zh-CN"/>
        </w:rPr>
        <w:t>情</w:t>
      </w:r>
      <w:r>
        <w:rPr>
          <w:rFonts w:hint="eastAsia" w:ascii="黑体" w:hAnsi="黑体" w:eastAsia="黑体"/>
          <w:sz w:val="32"/>
          <w:szCs w:val="32"/>
        </w:rPr>
        <w:t>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10.1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9.54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94.4</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7.06</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88.2</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2.48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118</w:t>
      </w:r>
      <w:r>
        <w:rPr>
          <w:rFonts w:hint="eastAsia" w:ascii="仿宋_GB2312" w:hAnsi="宋体" w:eastAsia="仿宋_GB2312" w:cs="Courier New"/>
          <w:sz w:val="32"/>
          <w:szCs w:val="32"/>
        </w:rPr>
        <w:t>%。2016年度“三公”经费支出决算数</w:t>
      </w:r>
      <w:r>
        <w:rPr>
          <w:rFonts w:hint="eastAsia" w:ascii="仿宋_GB2312" w:hAnsi="宋体" w:eastAsia="仿宋_GB2312" w:cs="Courier New"/>
          <w:sz w:val="32"/>
          <w:szCs w:val="32"/>
          <w:lang w:val="en-US" w:eastAsia="zh-CN"/>
        </w:rPr>
        <w:t>总数小于年初预算数</w:t>
      </w:r>
      <w:r>
        <w:rPr>
          <w:rFonts w:hint="eastAsia" w:ascii="仿宋_GB2312" w:hAnsi="宋体" w:eastAsia="仿宋_GB2312"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万元，公务用车购置及运行费支出决算</w:t>
      </w:r>
      <w:r>
        <w:rPr>
          <w:rFonts w:hint="eastAsia" w:ascii="仿宋_GB2312" w:hAnsi="宋体" w:eastAsia="仿宋_GB2312" w:cs="Courier New"/>
          <w:sz w:val="32"/>
          <w:szCs w:val="32"/>
          <w:lang w:val="en-US" w:eastAsia="zh-CN"/>
        </w:rPr>
        <w:t>7.06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74</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2.48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26</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万元。全年安排机关因公出国（境）团组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7.06</w:t>
      </w:r>
      <w:r>
        <w:rPr>
          <w:rFonts w:hint="eastAsia" w:ascii="仿宋_GB2312" w:hAnsi="宋体" w:eastAsia="仿宋_GB2312" w:cs="Courier New"/>
          <w:sz w:val="32"/>
          <w:szCs w:val="32"/>
        </w:rPr>
        <w:t>万元。其中：</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numId w:val="0"/>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7.06</w:t>
      </w:r>
      <w:r>
        <w:rPr>
          <w:rFonts w:hint="eastAsia" w:ascii="仿宋_GB2312" w:hAnsi="宋体" w:eastAsia="仿宋_GB2312" w:cs="Courier New"/>
          <w:sz w:val="32"/>
          <w:szCs w:val="32"/>
        </w:rPr>
        <w:t>万元。</w:t>
      </w:r>
      <w:r>
        <w:rPr>
          <w:rFonts w:hint="eastAsia" w:ascii="仿宋" w:hAnsi="仿宋" w:eastAsia="仿宋" w:cs="仿宋"/>
          <w:kern w:val="2"/>
          <w:sz w:val="32"/>
          <w:szCs w:val="32"/>
        </w:rPr>
        <w:t>主要用于开展工作所需公务用车的燃料费、维修费、过路过桥费、保险费等支出。</w:t>
      </w:r>
      <w:r>
        <w:rPr>
          <w:rFonts w:hint="eastAsia" w:ascii="仿宋" w:hAnsi="仿宋" w:eastAsia="仿宋" w:cs="仿宋"/>
          <w:sz w:val="32"/>
          <w:szCs w:val="32"/>
        </w:rPr>
        <w:t>2016年期末，</w:t>
      </w:r>
      <w:r>
        <w:rPr>
          <w:rFonts w:hint="eastAsia" w:ascii="仿宋" w:hAnsi="仿宋" w:eastAsia="仿宋" w:cs="仿宋"/>
          <w:kern w:val="0"/>
          <w:sz w:val="32"/>
          <w:szCs w:val="32"/>
          <w:lang w:eastAsia="zh-CN"/>
        </w:rPr>
        <w:t>郏县</w:t>
      </w:r>
      <w:r>
        <w:rPr>
          <w:rFonts w:hint="eastAsia" w:ascii="仿宋" w:hAnsi="仿宋" w:eastAsia="仿宋" w:cs="仿宋"/>
          <w:kern w:val="0"/>
          <w:sz w:val="32"/>
          <w:szCs w:val="32"/>
          <w:lang w:val="en-US" w:eastAsia="zh-CN"/>
        </w:rPr>
        <w:t>县委群工部属单位</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lang w:eastAsia="zh-CN"/>
        </w:rPr>
        <w:t>辆</w:t>
      </w:r>
      <w:r>
        <w:rPr>
          <w:rFonts w:hint="eastAsia" w:ascii="仿宋_GB2312" w:hAnsi="宋体" w:eastAsia="仿宋_GB2312" w:cs="Courier New"/>
          <w:sz w:val="32"/>
          <w:szCs w:val="32"/>
        </w:rPr>
        <w:t>。</w:t>
      </w:r>
    </w:p>
    <w:p>
      <w:pPr>
        <w:numPr>
          <w:numId w:val="0"/>
        </w:numPr>
        <w:kinsoku w:val="0"/>
        <w:overflowPunct w:val="0"/>
        <w:autoSpaceDE w:val="0"/>
        <w:autoSpaceDN w:val="0"/>
        <w:adjustRightInd w:val="0"/>
        <w:snapToGrid w:val="0"/>
        <w:spacing w:line="360" w:lineRule="auto"/>
        <w:rPr>
          <w:rFonts w:hint="eastAsia" w:ascii="黑体" w:hAnsi="黑体" w:eastAsia="黑体"/>
          <w:sz w:val="32"/>
          <w:szCs w:val="32"/>
        </w:rPr>
      </w:pPr>
      <w:r>
        <w:rPr>
          <w:rFonts w:hint="eastAsia" w:ascii="仿宋_GB2312" w:hAnsi="宋体" w:eastAsia="仿宋_GB2312" w:cs="Courier New"/>
          <w:b/>
          <w:bCs/>
          <w:sz w:val="32"/>
          <w:szCs w:val="32"/>
          <w:lang w:val="en-US" w:eastAsia="zh-CN"/>
        </w:rPr>
        <w:t xml:space="preserve">    3.</w:t>
      </w: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2.48</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eastAsia="zh-CN"/>
        </w:rPr>
        <w:t>日常的公务接待和加班用餐</w:t>
      </w:r>
      <w:r>
        <w:rPr>
          <w:rFonts w:hint="eastAsia" w:ascii="仿宋_GB2312" w:hAnsi="宋体" w:eastAsia="仿宋_GB2312" w:cs="Courier New"/>
          <w:b w:val="0"/>
          <w:bCs w:val="0"/>
          <w:sz w:val="32"/>
          <w:szCs w:val="32"/>
        </w:rPr>
        <w:t>。2016年度共接待国内来访团组</w:t>
      </w:r>
      <w:r>
        <w:rPr>
          <w:rFonts w:hint="eastAsia" w:ascii="仿宋_GB2312" w:hAnsi="宋体" w:eastAsia="仿宋_GB2312" w:cs="Courier New"/>
          <w:b w:val="0"/>
          <w:bCs w:val="0"/>
          <w:sz w:val="32"/>
          <w:szCs w:val="32"/>
          <w:lang w:val="en-US" w:eastAsia="zh-CN"/>
        </w:rPr>
        <w:t>65</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589</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numPr>
          <w:numId w:val="0"/>
        </w:numPr>
        <w:kinsoku w:val="0"/>
        <w:overflowPunct w:val="0"/>
        <w:autoSpaceDE w:val="0"/>
        <w:autoSpaceDN w:val="0"/>
        <w:adjustRightInd w:val="0"/>
        <w:snapToGrid w:val="0"/>
        <w:spacing w:line="360" w:lineRule="auto"/>
        <w:ind w:leftChars="200" w:firstLine="320" w:firstLineChars="1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关于预算绩效情况说明</w:t>
      </w:r>
    </w:p>
    <w:p>
      <w:pPr>
        <w:numPr>
          <w:numId w:val="0"/>
        </w:numPr>
        <w:adjustRightInd w:val="0"/>
        <w:snapToGrid w:val="0"/>
        <w:spacing w:line="360" w:lineRule="auto"/>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无</w:t>
      </w:r>
    </w:p>
    <w:p>
      <w:pPr>
        <w:numPr>
          <w:numId w:val="0"/>
        </w:num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关于政府性基金预算财政拨款支出决算情况说明</w:t>
      </w:r>
    </w:p>
    <w:p>
      <w:pPr>
        <w:numPr>
          <w:numId w:val="0"/>
        </w:numPr>
        <w:adjustRightInd w:val="0"/>
        <w:snapToGrid w:val="0"/>
        <w:spacing w:line="360" w:lineRule="auto"/>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无</w:t>
      </w:r>
    </w:p>
    <w:p>
      <w:pPr>
        <w:numPr>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eastAsia="zh-CN"/>
        </w:rPr>
        <w:t>（</w:t>
      </w:r>
      <w:r>
        <w:rPr>
          <w:rFonts w:hint="eastAsia" w:ascii="楷体_GB2312" w:hAnsi="Times New Roman" w:eastAsia="楷体_GB2312" w:cs="仿宋_GB2312"/>
          <w:bCs/>
          <w:kern w:val="0"/>
          <w:sz w:val="32"/>
          <w:szCs w:val="32"/>
          <w:lang w:val="en-US" w:eastAsia="zh-CN"/>
        </w:rPr>
        <w:t>一</w:t>
      </w:r>
      <w:r>
        <w:rPr>
          <w:rFonts w:hint="eastAsia" w:ascii="楷体_GB2312" w:hAnsi="Times New Roman" w:eastAsia="楷体_GB2312" w:cs="仿宋_GB2312"/>
          <w:bCs/>
          <w:kern w:val="0"/>
          <w:sz w:val="32"/>
          <w:szCs w:val="32"/>
          <w:lang w:eastAsia="zh-CN"/>
        </w:rPr>
        <w:t>）</w:t>
      </w: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174.84</w:t>
      </w:r>
      <w:r>
        <w:rPr>
          <w:rFonts w:hint="eastAsia" w:ascii="仿宋_GB2312" w:hAnsi="宋体" w:eastAsia="仿宋_GB2312" w:cs="Courier New"/>
          <w:sz w:val="32"/>
          <w:szCs w:val="32"/>
        </w:rPr>
        <w:t>万元，比2015年</w:t>
      </w:r>
      <w:r>
        <w:rPr>
          <w:rFonts w:hint="eastAsia" w:ascii="仿宋_GB2312" w:hAnsi="宋体" w:eastAsia="仿宋_GB2312" w:cs="Courier New"/>
          <w:sz w:val="32"/>
          <w:szCs w:val="32"/>
          <w:lang w:val="en-US" w:eastAsia="zh-CN"/>
        </w:rPr>
        <w:t>增加101.19</w:t>
      </w:r>
      <w:r>
        <w:rPr>
          <w:rFonts w:hint="eastAsia" w:ascii="仿宋_GB2312" w:hAnsi="宋体" w:eastAsia="仿宋_GB2312" w:cs="Courier New"/>
          <w:sz w:val="32"/>
          <w:szCs w:val="32"/>
        </w:rPr>
        <w:t>万元，增长</w:t>
      </w:r>
      <w:bookmarkStart w:id="0" w:name="_GoBack"/>
      <w:bookmarkEnd w:id="0"/>
      <w:r>
        <w:rPr>
          <w:rFonts w:hint="eastAsia" w:ascii="仿宋_GB2312" w:hAnsi="宋体" w:eastAsia="仿宋_GB2312" w:cs="Courier New"/>
          <w:sz w:val="32"/>
          <w:szCs w:val="32"/>
          <w:lang w:val="en-US" w:eastAsia="zh-CN"/>
        </w:rPr>
        <w:t>37.4</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numId w:val="0"/>
        </w:num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val="en-US" w:eastAsia="zh-CN"/>
        </w:rPr>
        <w:t>（二）</w:t>
      </w:r>
      <w:r>
        <w:rPr>
          <w:rFonts w:hint="eastAsia" w:ascii="楷体_GB2312" w:hAnsi="Times New Roman" w:eastAsia="楷体_GB2312" w:cs="仿宋_GB2312"/>
          <w:bCs/>
          <w:kern w:val="0"/>
          <w:sz w:val="32"/>
          <w:szCs w:val="32"/>
        </w:rPr>
        <w:t>政府采购支出情况。</w:t>
      </w:r>
    </w:p>
    <w:p>
      <w:pPr>
        <w:numPr>
          <w:numId w:val="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rPr>
          <w:rFonts w:hint="eastAsia"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val="en-US" w:eastAsia="zh-CN"/>
        </w:rPr>
        <w:t xml:space="preserve">    （三）</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val="en-US" w:eastAsia="zh-CN"/>
        </w:rPr>
        <w:t>群工部</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numPr>
          <w:numId w:val="0"/>
        </w:numPr>
        <w:kinsoku w:val="0"/>
        <w:overflowPunct w:val="0"/>
        <w:autoSpaceDE w:val="0"/>
        <w:autoSpaceDN w:val="0"/>
        <w:adjustRightInd w:val="0"/>
        <w:snapToGrid w:val="0"/>
        <w:spacing w:line="360" w:lineRule="auto"/>
        <w:rPr>
          <w:rFonts w:hint="eastAsia" w:ascii="黑体" w:hAnsi="微软雅黑" w:eastAsia="黑体"/>
          <w:b/>
          <w:color w:val="000000"/>
          <w:sz w:val="32"/>
          <w:szCs w:val="32"/>
          <w:lang w:eastAsia="zh-CN"/>
        </w:rPr>
      </w:pPr>
    </w:p>
    <w:p>
      <w:pPr>
        <w:spacing w:line="560" w:lineRule="exact"/>
        <w:ind w:firstLine="720" w:firstLineChars="225"/>
        <w:rPr>
          <w:rFonts w:hint="eastAsia" w:ascii="仿宋_GB2312" w:hAnsi="微软雅黑" w:eastAsia="仿宋_GB2312"/>
          <w:color w:val="000000"/>
          <w:sz w:val="32"/>
          <w:szCs w:val="32"/>
          <w:lang w:val="en-US" w:eastAsia="zh-CN"/>
        </w:rPr>
      </w:pPr>
    </w:p>
    <w:p>
      <w:pPr>
        <w:numPr>
          <w:numId w:val="0"/>
        </w:numPr>
        <w:spacing w:line="560" w:lineRule="exact"/>
        <w:ind w:firstLine="643" w:firstLineChars="200"/>
        <w:rPr>
          <w:rFonts w:hint="eastAsia" w:ascii="仿宋_GB2312" w:hAnsi="微软雅黑" w:eastAsia="仿宋_GB2312"/>
          <w:color w:val="000000"/>
          <w:sz w:val="32"/>
          <w:szCs w:val="32"/>
          <w:lang w:val="en-US" w:eastAsia="zh-CN"/>
        </w:rPr>
      </w:pPr>
      <w:r>
        <w:rPr>
          <w:rFonts w:hint="eastAsia" w:ascii="黑体" w:hAnsi="微软雅黑" w:eastAsia="黑体" w:cs="宋体"/>
          <w:b/>
          <w:color w:val="000000"/>
          <w:kern w:val="0"/>
          <w:sz w:val="32"/>
          <w:szCs w:val="32"/>
          <w:lang w:val="en-US" w:eastAsia="zh-CN" w:bidi="ar-SA"/>
        </w:rPr>
        <w:t xml:space="preserve">  </w:t>
      </w:r>
    </w:p>
    <w:p>
      <w:pPr>
        <w:widowControl w:val="0"/>
        <w:wordWrap/>
        <w:adjustRightInd/>
        <w:snapToGrid/>
        <w:spacing w:line="600" w:lineRule="exact"/>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Segoe Print"/>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Segoe Print"/>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Segoe Print"/>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Segoe Print"/>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Segoe Print"/>
    <w:panose1 w:val="02010609000101010101"/>
    <w:charset w:val="00"/>
    <w:family w:val="auto"/>
    <w:pitch w:val="default"/>
    <w:sig w:usb0="00000000" w:usb1="00000000" w:usb2="00000000" w:usb3="00000000" w:csb0="00040001" w:csb1="00000000"/>
  </w:font>
  <w:font w:name="文星简大标宋">
    <w:altName w:val="微软雅黑"/>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Segoe Print"/>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Segoe Print"/>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方正姚体繁体">
    <w:panose1 w:val="03000509000000000000"/>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287" w:usb1="0000000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Yu Gothic"/>
    <w:panose1 w:val="020B0500000000000000"/>
    <w:charset w:val="80"/>
    <w:family w:val="auto"/>
    <w:pitch w:val="default"/>
    <w:sig w:usb0="E00002FF" w:usb1="2AC7FDFF" w:usb2="00000016" w:usb3="00000000" w:csb0="2002009F" w:csb1="00000000"/>
  </w:font>
  <w:font w:name="Yu Gothic UI Semibold">
    <w:altName w:val="Yu Gothic"/>
    <w:panose1 w:val="020B0700000000000000"/>
    <w:charset w:val="80"/>
    <w:family w:val="auto"/>
    <w:pitch w:val="default"/>
    <w:sig w:usb0="E00002FF" w:usb1="2AC7FDFF" w:usb2="00000016" w:usb3="00000000" w:csb0="2002009F" w:csb1="00000000"/>
  </w:font>
  <w:font w:name="Century Gothic">
    <w:altName w:val="Arial"/>
    <w:panose1 w:val="020B0502020202020204"/>
    <w:charset w:val="00"/>
    <w:family w:val="auto"/>
    <w:pitch w:val="default"/>
    <w:sig w:usb0="00000000" w:usb1="00000000" w:usb2="00000000" w:usb3="00000000" w:csb0="2000009F" w:csb1="DFD7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微软雅黑"/>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微软雅黑"/>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Verdana">
    <w:panose1 w:val="020B0604030504040204"/>
    <w:charset w:val="00"/>
    <w:family w:val="auto"/>
    <w:pitch w:val="default"/>
    <w:sig w:usb0="A10006FF" w:usb1="4000205B" w:usb2="00000010" w:usb3="00000000" w:csb0="2000019F"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微软雅黑"/>
    <w:panose1 w:val="00000000000000000000"/>
    <w:charset w:val="01"/>
    <w:family w:val="auto"/>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0004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微软雅黑"/>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1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MV Boli">
    <w:panose1 w:val="02000500030200090000"/>
    <w:charset w:val="00"/>
    <w:family w:val="auto"/>
    <w:pitch w:val="default"/>
    <w:sig w:usb0="00000003" w:usb1="00000000" w:usb2="00000100" w:usb3="00000000" w:csb0="00000001"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Arial Rounded MT Bold">
    <w:altName w:val="Arial"/>
    <w:panose1 w:val="020F0704030504030204"/>
    <w:charset w:val="00"/>
    <w:family w:val="auto"/>
    <w:pitch w:val="default"/>
    <w:sig w:usb0="00000000" w:usb1="00000000" w:usb2="00000000" w:usb3="00000000" w:csb0="20000001"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微软雅黑"/>
    <w:panose1 w:val="00000000000000000000"/>
    <w:charset w:val="00"/>
    <w:family w:val="auto"/>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Lucida Console">
    <w:panose1 w:val="020B0609040504020204"/>
    <w:charset w:val="00"/>
    <w:family w:val="auto"/>
    <w:pitch w:val="default"/>
    <w:sig w:usb0="8000028F" w:usb1="00001800" w:usb2="00000000" w:usb3="00000000" w:csb0="0000001F" w:csb1="D7D7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Viner Hand ITC">
    <w:altName w:val="Mongolian Baiti"/>
    <w:panose1 w:val="03070502030502020203"/>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- 4 -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decimal"/>
      <w:suff w:val="nothing"/>
      <w:lvlText w:val="%1．"/>
      <w:lvlJc w:val="left"/>
      <w:pPr>
        <w:ind w:left="0" w:firstLine="400"/>
      </w:pPr>
      <w:rPr>
        <w:rFonts w:hint="default"/>
      </w:rPr>
    </w:lvl>
  </w:abstractNum>
  <w:abstractNum w:abstractNumId="4">
    <w:nsid w:val="00000004"/>
    <w:multiLevelType w:val="singleLevel"/>
    <w:tmpl w:val="00000004"/>
    <w:lvl w:ilvl="0" w:tentative="1">
      <w:start w:val="1"/>
      <w:numFmt w:val="chineseCounting"/>
      <w:suff w:val="nothing"/>
      <w:lvlText w:val="（%1）"/>
      <w:lvlJc w:val="left"/>
      <w:pPr>
        <w:ind w:left="0" w:firstLine="420"/>
      </w:pPr>
      <w:rPr>
        <w:rFonts w:hint="eastAsia"/>
      </w:rPr>
    </w:lvl>
  </w:abstractNum>
  <w:abstractNum w:abstractNumId="10">
    <w:nsid w:val="0000000A"/>
    <w:multiLevelType w:val="singleLevel"/>
    <w:tmpl w:val="0000000A"/>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1"/>
      <w:numFmt w:val="chineseCounting"/>
      <w:suff w:val="nothing"/>
      <w:lvlText w:val="%1、"/>
      <w:lvlJc w:val="left"/>
    </w:lvl>
  </w:abstractNum>
  <w:abstractNum w:abstractNumId="14">
    <w:nsid w:val="0000000E"/>
    <w:multiLevelType w:val="singleLevel"/>
    <w:tmpl w:val="0000000E"/>
    <w:lvl w:ilvl="0" w:tentative="1">
      <w:start w:val="3"/>
      <w:numFmt w:val="chineseCounting"/>
      <w:suff w:val="nothing"/>
      <w:lvlText w:val="第%1部"/>
      <w:lvlJc w:val="left"/>
    </w:lvl>
  </w:abstractNum>
  <w:num w:numId="1">
    <w:abstractNumId w:val="11"/>
  </w:num>
  <w:num w:numId="2">
    <w:abstractNumId w:val="14"/>
  </w:num>
  <w:num w:numId="3">
    <w:abstractNumId w:val="4"/>
  </w:num>
  <w:num w:numId="4">
    <w:abstractNumId w:val="3"/>
  </w:num>
  <w:num w:numId="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HTML Address"/>
    <w:basedOn w:val="1"/>
    <w:pPr>
      <w:widowControl/>
      <w:spacing w:before="100" w:beforeAutospacing="1" w:after="100" w:afterAutospacing="1"/>
      <w:jc w:val="left"/>
    </w:pPr>
    <w:rPr>
      <w:rFonts w:ascii="宋体" w:hAnsi="宋体" w:cs="宋体"/>
      <w:kern w:val="0"/>
      <w:sz w:val="24"/>
    </w:rPr>
  </w:style>
  <w:style w:type="character" w:customStyle="1" w:styleId="6">
    <w:name w:val="page number"/>
    <w:basedOn w:val="4"/>
    <w:rPr/>
  </w:style>
  <w:style w:type="character" w:customStyle="1" w:styleId="7">
    <w:name w:val="font31"/>
    <w:basedOn w:val="4"/>
    <w:rPr>
      <w:rFonts w:ascii="Arial" w:hAnsi="Arial" w:cs="Arial"/>
      <w:color w:val="000000"/>
      <w:sz w:val="16"/>
      <w:szCs w:val="16"/>
      <w:u w:val="none"/>
    </w:rPr>
  </w:style>
  <w:style w:type="character" w:customStyle="1" w:styleId="8">
    <w:name w:val="font01"/>
    <w:basedOn w:val="4"/>
    <w:rPr>
      <w:rFonts w:hint="default" w:ascii="Arial" w:hAnsi="Arial" w:cs="Arial"/>
      <w:color w:val="000000"/>
      <w:sz w:val="16"/>
      <w:szCs w:val="16"/>
      <w:u w:val="none"/>
    </w:rPr>
  </w:style>
  <w:style w:type="character" w:customStyle="1" w:styleId="9">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wsj</dc:creator>
  <cp:lastPrinted>2017-11-17T17:58:00Z</cp:lastPrinted>
  <dcterms:modified xsi:type="dcterms:W3CDTF">2017-11-17T10:20:12Z</dcterms:modified>
  <dc:title>vanke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