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郏县人大</w:t>
      </w: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郏县人大</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郏县人大</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郏县人大</w:t>
      </w:r>
      <w:r>
        <w:rPr>
          <w:rFonts w:hint="eastAsia" w:ascii="黑体" w:hAnsi="黑体" w:eastAsia="黑体" w:cs="黑体"/>
          <w:sz w:val="32"/>
          <w:szCs w:val="32"/>
        </w:rPr>
        <w:t>2016年度部门决算情况说明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郏县人大</w:t>
      </w:r>
      <w:r>
        <w:rPr>
          <w:rFonts w:hint="eastAsia" w:ascii="隶书" w:hAnsi="隶书" w:eastAsia="隶书" w:cs="隶书"/>
          <w:sz w:val="48"/>
          <w:szCs w:val="48"/>
        </w:rPr>
        <w:t>概况</w:t>
      </w:r>
    </w:p>
    <w:p>
      <w:pPr>
        <w:numPr>
          <w:numId w:val="0"/>
        </w:numPr>
        <w:shd w:val="clear" w:color="auto" w:fill="FFFFFF"/>
        <w:spacing w:after="150" w:line="580" w:lineRule="exact"/>
        <w:jc w:val="both"/>
        <w:outlineLvl w:val="1"/>
        <w:rPr>
          <w:rFonts w:hint="eastAsia" w:ascii="黑体" w:hAnsi="黑体" w:eastAsia="黑体" w:cs="黑体"/>
          <w:bCs/>
          <w:color w:val="484848"/>
          <w:sz w:val="30"/>
          <w:szCs w:val="30"/>
          <w:lang w:eastAsia="zh-CN"/>
        </w:rPr>
      </w:pPr>
    </w:p>
    <w:p>
      <w:pPr>
        <w:numPr>
          <w:numId w:val="0"/>
        </w:numPr>
        <w:shd w:val="clear" w:color="auto" w:fill="FFFFFF"/>
        <w:spacing w:after="150" w:line="580" w:lineRule="exact"/>
        <w:jc w:val="both"/>
        <w:outlineLvl w:val="1"/>
        <w:rPr>
          <w:rFonts w:hint="eastAsia" w:ascii="黑体" w:hAnsi="黑体" w:eastAsia="黑体" w:cs="黑体"/>
          <w:bCs/>
          <w:color w:val="484848"/>
          <w:sz w:val="30"/>
          <w:szCs w:val="30"/>
          <w:lang w:eastAsia="zh-CN"/>
        </w:rPr>
      </w:pPr>
    </w:p>
    <w:p>
      <w:pPr>
        <w:numPr>
          <w:numId w:val="0"/>
        </w:numPr>
        <w:shd w:val="clear" w:color="auto" w:fill="FFFFFF"/>
        <w:spacing w:after="150" w:line="580" w:lineRule="exact"/>
        <w:jc w:val="both"/>
        <w:outlineLvl w:val="1"/>
        <w:rPr>
          <w:rFonts w:hint="eastAsia" w:ascii="黑体" w:hAnsi="黑体" w:eastAsia="黑体" w:cs="黑体"/>
          <w:bCs/>
          <w:color w:val="484848"/>
          <w:sz w:val="30"/>
          <w:szCs w:val="30"/>
        </w:rPr>
      </w:pPr>
      <w:r>
        <w:rPr>
          <w:rFonts w:hint="eastAsia" w:ascii="黑体" w:hAnsi="黑体" w:eastAsia="黑体" w:cs="黑体"/>
          <w:bCs/>
          <w:color w:val="484848"/>
          <w:sz w:val="30"/>
          <w:szCs w:val="30"/>
          <w:lang w:eastAsia="zh-CN"/>
        </w:rPr>
        <w:t>一、</w:t>
      </w:r>
      <w:r>
        <w:rPr>
          <w:rFonts w:hint="eastAsia" w:ascii="黑体" w:hAnsi="黑体" w:eastAsia="黑体" w:cs="黑体"/>
          <w:bCs/>
          <w:color w:val="484848"/>
          <w:sz w:val="30"/>
          <w:szCs w:val="30"/>
        </w:rPr>
        <w:t>本部门的基本情况</w:t>
      </w:r>
    </w:p>
    <w:p>
      <w:pPr>
        <w:numPr>
          <w:numId w:val="0"/>
        </w:numPr>
        <w:shd w:val="clear" w:color="auto" w:fill="FFFFFF"/>
        <w:spacing w:after="150" w:line="580" w:lineRule="exact"/>
        <w:jc w:val="both"/>
        <w:outlineLvl w:val="1"/>
        <w:rPr>
          <w:rFonts w:hint="eastAsia" w:ascii="宋体" w:hAnsi="宋体" w:eastAsia="宋体" w:cs="宋体"/>
          <w:bCs/>
          <w:sz w:val="28"/>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lang w:eastAsia="zh-CN"/>
        </w:rPr>
        <w:t>（一）、</w:t>
      </w:r>
      <w:r>
        <w:rPr>
          <w:rFonts w:hint="eastAsia" w:ascii="宋体" w:hAnsi="宋体" w:eastAsia="宋体" w:cs="宋体"/>
          <w:bCs/>
          <w:sz w:val="28"/>
          <w:szCs w:val="28"/>
        </w:rPr>
        <w:t>部门职责</w:t>
      </w:r>
    </w:p>
    <w:p>
      <w:p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bCs/>
          <w:sz w:val="28"/>
          <w:szCs w:val="28"/>
          <w:lang w:val="en-US" w:eastAsia="zh-CN"/>
        </w:rPr>
        <w:t>1、</w:t>
      </w:r>
      <w:r>
        <w:rPr>
          <w:rFonts w:hint="eastAsia" w:ascii="宋体" w:hAnsi="宋体" w:eastAsia="宋体" w:cs="宋体"/>
          <w:color w:val="454545"/>
          <w:sz w:val="28"/>
          <w:szCs w:val="28"/>
          <w:shd w:val="clear" w:color="auto" w:fill="FFFFFF"/>
        </w:rPr>
        <w:t>在本</w:t>
      </w:r>
      <w:r>
        <w:rPr>
          <w:rFonts w:hint="eastAsia" w:ascii="宋体" w:hAnsi="宋体" w:eastAsia="宋体" w:cs="宋体"/>
          <w:color w:val="454545"/>
          <w:sz w:val="28"/>
          <w:szCs w:val="28"/>
          <w:shd w:val="clear" w:color="auto" w:fill="FFFFFF"/>
          <w:lang w:eastAsia="zh-CN"/>
        </w:rPr>
        <w:t>县</w:t>
      </w:r>
      <w:r>
        <w:rPr>
          <w:rFonts w:hint="eastAsia" w:ascii="宋体" w:hAnsi="宋体" w:eastAsia="宋体" w:cs="宋体"/>
          <w:color w:val="454545"/>
          <w:sz w:val="28"/>
          <w:szCs w:val="28"/>
          <w:shd w:val="clear" w:color="auto" w:fill="FFFFFF"/>
        </w:rPr>
        <w:t>内，保证宪法、法律、行政法规的遵守和执行。</w:t>
      </w:r>
    </w:p>
    <w:p>
      <w:p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color w:val="454545"/>
          <w:sz w:val="28"/>
          <w:szCs w:val="28"/>
          <w:shd w:val="clear" w:color="auto" w:fill="FFFFFF"/>
          <w:lang w:val="en-US" w:eastAsia="zh-CN"/>
        </w:rPr>
        <w:t>2、</w:t>
      </w:r>
      <w:r>
        <w:rPr>
          <w:rFonts w:hint="eastAsia" w:ascii="宋体" w:hAnsi="宋体" w:eastAsia="宋体" w:cs="宋体"/>
          <w:color w:val="454545"/>
          <w:sz w:val="28"/>
          <w:szCs w:val="28"/>
          <w:shd w:val="clear" w:color="auto" w:fill="FFFFFF"/>
        </w:rPr>
        <w:t>决定本</w:t>
      </w:r>
      <w:r>
        <w:rPr>
          <w:rFonts w:hint="eastAsia" w:ascii="宋体" w:hAnsi="宋体" w:eastAsia="宋体" w:cs="宋体"/>
          <w:color w:val="454545"/>
          <w:sz w:val="28"/>
          <w:szCs w:val="28"/>
          <w:shd w:val="clear" w:color="auto" w:fill="FFFFFF"/>
          <w:lang w:eastAsia="zh-CN"/>
        </w:rPr>
        <w:t>县</w:t>
      </w:r>
      <w:r>
        <w:rPr>
          <w:rFonts w:hint="eastAsia" w:ascii="宋体" w:hAnsi="宋体" w:eastAsia="宋体" w:cs="宋体"/>
          <w:color w:val="454545"/>
          <w:sz w:val="28"/>
          <w:szCs w:val="28"/>
          <w:shd w:val="clear" w:color="auto" w:fill="FFFFFF"/>
        </w:rPr>
        <w:t>内各项工作的重大事项。</w:t>
      </w:r>
    </w:p>
    <w:p>
      <w:pPr>
        <w:numPr>
          <w:ilvl w:val="0"/>
          <w:numId w:val="2"/>
        </w:num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color w:val="454545"/>
          <w:sz w:val="28"/>
          <w:szCs w:val="28"/>
          <w:shd w:val="clear" w:color="auto" w:fill="FFFFFF"/>
        </w:rPr>
        <w:t>审查和批准本</w:t>
      </w:r>
      <w:r>
        <w:rPr>
          <w:rFonts w:hint="eastAsia" w:ascii="宋体" w:hAnsi="宋体" w:eastAsia="宋体" w:cs="宋体"/>
          <w:color w:val="454545"/>
          <w:sz w:val="28"/>
          <w:szCs w:val="28"/>
          <w:shd w:val="clear" w:color="auto" w:fill="FFFFFF"/>
          <w:lang w:eastAsia="zh-CN"/>
        </w:rPr>
        <w:t>县</w:t>
      </w:r>
      <w:r>
        <w:rPr>
          <w:rFonts w:hint="eastAsia" w:ascii="宋体" w:hAnsi="宋体" w:eastAsia="宋体" w:cs="宋体"/>
          <w:color w:val="454545"/>
          <w:sz w:val="28"/>
          <w:szCs w:val="28"/>
          <w:shd w:val="clear" w:color="auto" w:fill="FFFFFF"/>
        </w:rPr>
        <w:t>内的国民经济和社会发展及其执行情况。</w:t>
      </w:r>
    </w:p>
    <w:p>
      <w:pPr>
        <w:numPr>
          <w:numId w:val="0"/>
        </w:num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color w:val="454545"/>
          <w:sz w:val="28"/>
          <w:szCs w:val="28"/>
          <w:shd w:val="clear" w:color="auto" w:fill="FFFFFF"/>
          <w:lang w:val="en-US" w:eastAsia="zh-CN"/>
        </w:rPr>
        <w:t>4、</w:t>
      </w:r>
      <w:r>
        <w:rPr>
          <w:rFonts w:hint="eastAsia" w:ascii="宋体" w:hAnsi="宋体" w:eastAsia="宋体" w:cs="宋体"/>
          <w:color w:val="454545"/>
          <w:sz w:val="28"/>
          <w:szCs w:val="28"/>
          <w:shd w:val="clear" w:color="auto" w:fill="FFFFFF"/>
        </w:rPr>
        <w:t>选举和罢免</w:t>
      </w:r>
      <w:r>
        <w:rPr>
          <w:rFonts w:hint="eastAsia" w:ascii="宋体" w:hAnsi="宋体" w:eastAsia="宋体" w:cs="宋体"/>
          <w:color w:val="454545"/>
          <w:sz w:val="28"/>
          <w:szCs w:val="28"/>
          <w:shd w:val="clear" w:color="auto" w:fill="FFFFFF"/>
          <w:lang w:eastAsia="zh-CN"/>
        </w:rPr>
        <w:t>县</w:t>
      </w:r>
      <w:r>
        <w:rPr>
          <w:rFonts w:hint="eastAsia" w:ascii="宋体" w:hAnsi="宋体" w:eastAsia="宋体" w:cs="宋体"/>
          <w:color w:val="454545"/>
          <w:sz w:val="28"/>
          <w:szCs w:val="28"/>
          <w:shd w:val="clear" w:color="auto" w:fill="FFFFFF"/>
        </w:rPr>
        <w:t>级人民政府的正、副职领导人。</w:t>
      </w:r>
    </w:p>
    <w:p>
      <w:p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color w:val="454545"/>
          <w:sz w:val="28"/>
          <w:szCs w:val="28"/>
          <w:shd w:val="clear" w:color="auto" w:fill="FFFFFF"/>
          <w:lang w:val="en-US" w:eastAsia="zh-CN"/>
        </w:rPr>
        <w:t>5、</w:t>
      </w:r>
      <w:r>
        <w:rPr>
          <w:rFonts w:hint="eastAsia" w:ascii="宋体" w:hAnsi="宋体" w:eastAsia="宋体" w:cs="宋体"/>
          <w:color w:val="454545"/>
          <w:sz w:val="28"/>
          <w:szCs w:val="28"/>
          <w:shd w:val="clear" w:color="auto" w:fill="FFFFFF"/>
        </w:rPr>
        <w:t>监督本级人民政府的工作，听取和审查本级人民政府的工作报</w:t>
      </w:r>
    </w:p>
    <w:p>
      <w:pPr>
        <w:shd w:val="solid" w:color="FFFFFF" w:fill="auto"/>
        <w:wordWrap w:val="0"/>
        <w:autoSpaceDN w:val="0"/>
        <w:spacing w:before="150" w:after="150"/>
        <w:rPr>
          <w:rFonts w:hint="eastAsia" w:ascii="宋体" w:hAnsi="宋体" w:eastAsia="宋体" w:cs="宋体"/>
          <w:color w:val="454545"/>
          <w:sz w:val="28"/>
          <w:szCs w:val="28"/>
          <w:shd w:val="clear" w:color="auto" w:fill="FFFFFF"/>
        </w:rPr>
      </w:pPr>
      <w:r>
        <w:rPr>
          <w:rFonts w:hint="eastAsia" w:ascii="宋体" w:hAnsi="宋体" w:eastAsia="宋体" w:cs="宋体"/>
          <w:color w:val="454545"/>
          <w:sz w:val="28"/>
          <w:szCs w:val="28"/>
          <w:shd w:val="clear" w:color="auto" w:fill="FFFFFF"/>
          <w:lang w:val="en-US" w:eastAsia="zh-CN"/>
        </w:rPr>
        <w:t>6、</w:t>
      </w:r>
      <w:r>
        <w:rPr>
          <w:rFonts w:hint="eastAsia" w:ascii="宋体" w:hAnsi="宋体" w:eastAsia="宋体" w:cs="宋体"/>
          <w:color w:val="454545"/>
          <w:sz w:val="28"/>
          <w:szCs w:val="28"/>
          <w:shd w:val="clear" w:color="auto" w:fill="FFFFFF"/>
        </w:rPr>
        <w:t>撤销本级人民政府的不适当的决定和命令。</w:t>
      </w:r>
    </w:p>
    <w:p>
      <w:pPr>
        <w:rPr>
          <w:rFonts w:hint="eastAsia" w:ascii="宋体" w:hAnsi="宋体" w:eastAsia="宋体" w:cs="宋体"/>
          <w:bCs/>
          <w:sz w:val="28"/>
          <w:szCs w:val="28"/>
        </w:rPr>
      </w:pPr>
      <w:r>
        <w:rPr>
          <w:rFonts w:hint="eastAsia" w:ascii="宋体" w:hAnsi="宋体" w:eastAsia="宋体" w:cs="宋体"/>
          <w:bCs/>
          <w:sz w:val="28"/>
          <w:szCs w:val="28"/>
          <w:lang w:eastAsia="zh-CN"/>
        </w:rPr>
        <w:t>（二）</w:t>
      </w:r>
      <w:r>
        <w:rPr>
          <w:rFonts w:hint="eastAsia" w:ascii="宋体" w:hAnsi="宋体" w:eastAsia="宋体" w:cs="宋体"/>
          <w:bCs/>
          <w:sz w:val="28"/>
          <w:szCs w:val="28"/>
        </w:rPr>
        <w:t>、内设机构</w:t>
      </w:r>
    </w:p>
    <w:p>
      <w:pPr>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郏县人大常委会下设办公室、教工委、环资委、法工委、财工委、农工委、</w:t>
      </w:r>
      <w:r>
        <w:rPr>
          <w:rFonts w:hint="eastAsia" w:ascii="宋体" w:hAnsi="宋体" w:eastAsia="宋体" w:cs="宋体"/>
          <w:bCs/>
          <w:sz w:val="28"/>
          <w:szCs w:val="28"/>
        </w:rPr>
        <w:t xml:space="preserve"> </w:t>
      </w:r>
      <w:r>
        <w:rPr>
          <w:rFonts w:hint="eastAsia" w:ascii="宋体" w:hAnsi="宋体" w:eastAsia="宋体" w:cs="宋体"/>
          <w:bCs/>
          <w:sz w:val="28"/>
          <w:szCs w:val="28"/>
          <w:lang w:eastAsia="zh-CN"/>
        </w:rPr>
        <w:t>代表联络科、信访室。办公室下设老干部</w:t>
      </w:r>
      <w:r>
        <w:rPr>
          <w:rFonts w:hint="eastAsia" w:ascii="宋体" w:hAnsi="宋体" w:cs="宋体"/>
          <w:bCs/>
          <w:sz w:val="28"/>
          <w:szCs w:val="28"/>
          <w:lang w:eastAsia="zh-CN"/>
        </w:rPr>
        <w:t>服务中心和机关事务</w:t>
      </w:r>
      <w:r>
        <w:rPr>
          <w:rFonts w:hint="eastAsia" w:ascii="宋体" w:hAnsi="宋体" w:eastAsia="宋体" w:cs="宋体"/>
          <w:bCs/>
          <w:sz w:val="28"/>
          <w:szCs w:val="28"/>
          <w:lang w:eastAsia="zh-CN"/>
        </w:rPr>
        <w:t>服务中心。</w:t>
      </w:r>
      <w:r>
        <w:rPr>
          <w:rFonts w:hint="eastAsia" w:ascii="宋体" w:hAnsi="宋体" w:eastAsia="宋体" w:cs="宋体"/>
          <w:bCs/>
          <w:sz w:val="28"/>
          <w:szCs w:val="28"/>
        </w:rPr>
        <w:t xml:space="preserve"> </w:t>
      </w:r>
    </w:p>
    <w:p>
      <w:pPr>
        <w:jc w:val="both"/>
        <w:outlineLvl w:val="0"/>
        <w:rPr>
          <w:rFonts w:hint="eastAsia" w:ascii="隶书" w:hAnsi="隶书" w:eastAsia="隶书" w:cs="隶书"/>
          <w:sz w:val="48"/>
          <w:szCs w:val="48"/>
        </w:rPr>
      </w:pPr>
    </w:p>
    <w:p>
      <w:pPr>
        <w:jc w:val="both"/>
        <w:outlineLvl w:val="0"/>
        <w:sectPr>
          <w:footerReference r:id="rId4" w:type="default"/>
          <w:pgSz w:w="11906" w:h="16838"/>
          <w:pgMar w:top="1440" w:right="1531" w:bottom="1440" w:left="1587" w:header="850" w:footer="992" w:gutter="0"/>
          <w:pgNumType w:fmt="numberInDash" w:start="1"/>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lang w:eastAsia="zh-CN"/>
        </w:rPr>
        <w:t>郏县人大</w:t>
      </w: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470.28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328.07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119.20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2.83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471.84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451.67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2.75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22.92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474.59</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474.59</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471.84</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471.84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1.56</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348.25</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348.25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348.25</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348.25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230.90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230.90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人大会仪</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43.50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43.50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2010150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49.35</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49.35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2010199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其他人大事务支出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24.50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24.50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119.20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210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医疗卫生有计划生育支出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21005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医疗保障</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2100501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行政单位医疗</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2.83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229</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其他支出</w:t>
            </w: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1.56</w:t>
            </w: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22999</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其他支出</w:t>
            </w: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1.56</w:t>
            </w: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2299901</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其他支出</w:t>
            </w: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1.56</w:t>
            </w: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1.56</w:t>
            </w: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cs="宋体"/>
                <w:color w:val="000000"/>
                <w:kern w:val="0"/>
                <w:sz w:val="16"/>
                <w:szCs w:val="16"/>
                <w:lang w:val="en-US" w:eastAsia="zh-CN"/>
              </w:rPr>
            </w:pP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i w:val="0"/>
                <w:color w:val="000000"/>
                <w:sz w:val="16"/>
                <w:szCs w:val="16"/>
                <w:u w:val="none"/>
                <w:lang w:eastAsia="zh-CN"/>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cs="宋体"/>
                <w:i w:val="0"/>
                <w:color w:val="000000"/>
                <w:sz w:val="16"/>
                <w:szCs w:val="16"/>
                <w:u w:val="none"/>
                <w:lang w:val="en-US" w:eastAsia="zh-CN"/>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cs="宋体"/>
                <w:i w:val="0"/>
                <w:color w:val="000000"/>
                <w:sz w:val="16"/>
                <w:szCs w:val="16"/>
                <w:u w:val="none"/>
                <w:lang w:val="en-US" w:eastAsia="zh-CN"/>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cs="宋体"/>
                <w:color w:val="000000"/>
                <w:kern w:val="0"/>
                <w:sz w:val="16"/>
                <w:szCs w:val="16"/>
                <w:lang w:val="en-US" w:eastAsia="zh-CN"/>
              </w:rPr>
            </w:pP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i w:val="0"/>
                <w:color w:val="000000"/>
                <w:sz w:val="16"/>
                <w:szCs w:val="16"/>
                <w:u w:val="none"/>
                <w:lang w:eastAsia="zh-CN"/>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cs="宋体"/>
                <w:i w:val="0"/>
                <w:color w:val="000000"/>
                <w:sz w:val="16"/>
                <w:szCs w:val="16"/>
                <w:u w:val="none"/>
                <w:lang w:val="en-US" w:eastAsia="zh-CN"/>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cs="宋体"/>
                <w:i w:val="0"/>
                <w:color w:val="000000"/>
                <w:sz w:val="16"/>
                <w:szCs w:val="16"/>
                <w:u w:val="none"/>
                <w:lang w:val="en-US" w:eastAsia="zh-CN"/>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cs="宋体"/>
                <w:color w:val="000000"/>
                <w:kern w:val="0"/>
                <w:sz w:val="16"/>
                <w:szCs w:val="16"/>
                <w:lang w:val="en-US" w:eastAsia="zh-CN"/>
              </w:rPr>
            </w:pP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i w:val="0"/>
                <w:color w:val="000000"/>
                <w:sz w:val="16"/>
                <w:szCs w:val="16"/>
                <w:u w:val="none"/>
                <w:lang w:eastAsia="zh-CN"/>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cs="宋体"/>
                <w:i w:val="0"/>
                <w:color w:val="000000"/>
                <w:sz w:val="16"/>
                <w:szCs w:val="16"/>
                <w:u w:val="none"/>
                <w:lang w:val="en-US" w:eastAsia="zh-CN"/>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cs="宋体"/>
                <w:i w:val="0"/>
                <w:color w:val="000000"/>
                <w:sz w:val="16"/>
                <w:szCs w:val="16"/>
                <w:u w:val="none"/>
                <w:lang w:val="en-US" w:eastAsia="zh-CN"/>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cs="宋体"/>
                <w:color w:val="000000"/>
                <w:kern w:val="0"/>
                <w:sz w:val="16"/>
                <w:szCs w:val="16"/>
                <w:lang w:val="en-US" w:eastAsia="zh-CN"/>
              </w:rPr>
            </w:pP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i w:val="0"/>
                <w:color w:val="000000"/>
                <w:sz w:val="16"/>
                <w:szCs w:val="16"/>
                <w:u w:val="none"/>
                <w:lang w:eastAsia="zh-CN"/>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cs="宋体"/>
                <w:i w:val="0"/>
                <w:color w:val="000000"/>
                <w:sz w:val="16"/>
                <w:szCs w:val="16"/>
                <w:u w:val="none"/>
                <w:lang w:val="en-US" w:eastAsia="zh-CN"/>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textDirection w:val="lrTb"/>
            <w:vAlign w:val="center"/>
          </w:tcPr>
          <w:p>
            <w:pPr>
              <w:jc w:val="right"/>
              <w:rPr>
                <w:rFonts w:hint="eastAsia" w:ascii="宋体" w:hAnsi="宋体" w:cs="宋体"/>
                <w:i w:val="0"/>
                <w:color w:val="000000"/>
                <w:sz w:val="16"/>
                <w:szCs w:val="16"/>
                <w:u w:val="none"/>
                <w:lang w:val="en-US" w:eastAsia="zh-CN"/>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284"/>
        <w:gridCol w:w="715"/>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32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0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32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0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0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451.67</w:t>
            </w:r>
            <w:r>
              <w:rPr>
                <w:rFonts w:hint="eastAsia" w:ascii="宋体" w:hAnsi="宋体" w:eastAsia="宋体" w:cs="宋体"/>
                <w:b/>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408.17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43.50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328.07</w:t>
            </w:r>
            <w:r>
              <w:rPr>
                <w:rFonts w:hint="eastAsia" w:ascii="宋体" w:hAnsi="宋体" w:eastAsia="宋体" w:cs="宋体"/>
                <w:b/>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328.07</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lang w:val="en-US"/>
              </w:rPr>
            </w:pPr>
            <w:r>
              <w:rPr>
                <w:rFonts w:hint="eastAsia" w:ascii="宋体" w:hAnsi="宋体" w:cs="宋体"/>
                <w:b/>
                <w:color w:val="000000"/>
                <w:kern w:val="0"/>
                <w:sz w:val="16"/>
                <w:szCs w:val="16"/>
                <w:lang w:val="en-US" w:eastAsia="zh-CN"/>
              </w:rPr>
              <w:t>43.50</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lang w:val="en-US"/>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68"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328.07</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328.07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210.72</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210.72</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eastAsia="zh-CN"/>
              </w:rPr>
              <w:t>人大会仪</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eastAsia="zh-CN"/>
              </w:rPr>
              <w:t>事业运行</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49.35</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49.35</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其他人大事务支出</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24.50</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24.50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社会保障和就业支出</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行政事业单位离退休</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归口管理的行政单位离退休</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210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医疗卫生有计划生育支出</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21005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医疗保障</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2.83</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kern w:val="0"/>
                <w:sz w:val="16"/>
                <w:szCs w:val="16"/>
              </w:rPr>
            </w:pPr>
            <w:r>
              <w:rPr>
                <w:rFonts w:hint="eastAsia" w:ascii="宋体" w:hAnsi="宋体" w:cs="宋体"/>
                <w:color w:val="000000"/>
                <w:kern w:val="0"/>
                <w:sz w:val="16"/>
                <w:szCs w:val="16"/>
                <w:lang w:val="en-US" w:eastAsia="zh-CN"/>
              </w:rPr>
              <w:t>2.83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21005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行政单位医疗</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2.83</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kern w:val="0"/>
                <w:sz w:val="16"/>
                <w:szCs w:val="16"/>
              </w:rPr>
            </w:pPr>
            <w:r>
              <w:rPr>
                <w:rFonts w:hint="eastAsia" w:ascii="宋体" w:hAnsi="宋体" w:cs="宋体"/>
                <w:color w:val="000000"/>
                <w:kern w:val="0"/>
                <w:sz w:val="16"/>
                <w:szCs w:val="16"/>
                <w:lang w:val="en-US" w:eastAsia="zh-CN"/>
              </w:rPr>
              <w:t>2.83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229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其他支出</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1.56</w:t>
            </w:r>
          </w:p>
        </w:tc>
        <w:tc>
          <w:tcPr>
            <w:tcW w:w="108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kern w:val="0"/>
                <w:sz w:val="16"/>
                <w:szCs w:val="16"/>
              </w:rPr>
            </w:pPr>
            <w:r>
              <w:rPr>
                <w:rFonts w:hint="eastAsia" w:ascii="宋体" w:hAnsi="宋体" w:cs="宋体"/>
                <w:color w:val="000000"/>
                <w:kern w:val="0"/>
                <w:sz w:val="16"/>
                <w:szCs w:val="16"/>
                <w:lang w:val="en-US" w:eastAsia="zh-CN"/>
              </w:rPr>
              <w:t>1.56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22999</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其他支出</w:t>
            </w: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1.56</w:t>
            </w: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sz w:val="16"/>
                <w:szCs w:val="16"/>
                <w:lang w:val="en-US" w:eastAsia="zh-CN"/>
              </w:rPr>
              <w:t>1.56</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2299901</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其他支出</w:t>
            </w: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1.56</w:t>
            </w: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sz w:val="16"/>
                <w:szCs w:val="16"/>
                <w:lang w:val="en-US" w:eastAsia="zh-CN"/>
              </w:rPr>
              <w:t>1.56</w:t>
            </w: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cs="宋体"/>
                <w:color w:val="000000"/>
                <w:sz w:val="16"/>
                <w:szCs w:val="16"/>
                <w:lang w:eastAsia="zh-CN"/>
              </w:rPr>
            </w:pPr>
          </w:p>
        </w:tc>
        <w:tc>
          <w:tcPr>
            <w:tcW w:w="132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cs="宋体"/>
                <w:color w:val="000000"/>
                <w:sz w:val="16"/>
                <w:szCs w:val="16"/>
                <w:lang w:val="en-US" w:eastAsia="zh-CN"/>
              </w:rPr>
            </w:pPr>
          </w:p>
        </w:tc>
        <w:tc>
          <w:tcPr>
            <w:tcW w:w="1084"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hint="eastAsia" w:ascii="宋体" w:hAnsi="宋体" w:cs="宋体"/>
                <w:color w:val="000000"/>
                <w:sz w:val="16"/>
                <w:szCs w:val="16"/>
                <w:lang w:val="en-US" w:eastAsia="zh-CN"/>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470.28</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328.07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328.07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470.28</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450.11</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450.11</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2.76</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22.92</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22.92</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473.03</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473.03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473.03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450.11</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406.61</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color w:val="000000"/>
                <w:kern w:val="0"/>
                <w:sz w:val="16"/>
                <w:szCs w:val="16"/>
                <w:lang w:val="en-US" w:eastAsia="zh-CN"/>
              </w:rPr>
              <w:t>43.50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328.07</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284.57</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color w:val="000000"/>
                <w:kern w:val="0"/>
                <w:sz w:val="16"/>
                <w:szCs w:val="16"/>
                <w:lang w:val="en-US" w:eastAsia="zh-CN"/>
              </w:rPr>
              <w:t>43.50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328.07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284.57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210.72</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21.72</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人大会仪</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49.35</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49.35</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2010199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其他人大事务支出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24.50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24.50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归口管理的行政单位离退休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119.20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医疗卫生有计划生育支出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eastAsia="zh-CN"/>
              </w:rPr>
              <w:t>医疗保障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2100501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eastAsia="zh-CN"/>
              </w:rPr>
              <w:t>行政单位医疗</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2.83</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816" w:right="1531" w:bottom="1440" w:left="1587" w:header="850" w:footer="992" w:gutter="0"/>
          <w:paperSrc w:first="0" w:oth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195.85</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lang w:val="en-US"/>
              </w:rPr>
            </w:pPr>
            <w:r>
              <w:rPr>
                <w:rFonts w:hint="eastAsia" w:ascii="宋体" w:hAnsi="宋体" w:cs="宋体"/>
                <w:b/>
                <w:color w:val="000000"/>
                <w:kern w:val="0"/>
                <w:sz w:val="16"/>
                <w:szCs w:val="16"/>
                <w:lang w:val="en-US" w:eastAsia="zh-CN"/>
              </w:rPr>
              <w:t>120.27</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78.70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16.87</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62.56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0.16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30.79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5.74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8.22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2.40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18.06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2.38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122.94</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5.98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98.77</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10.39</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10.77</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43.50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6.45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0.96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5.83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4.68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0.11</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0.11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1.03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2.38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16.77</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0.46</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816" w:right="1531" w:bottom="1440" w:left="1587" w:header="850" w:footer="992" w:gutter="0"/>
          <w:paperSrc w:first="0" w:oth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30.6</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30.6</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28</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2.6</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17.73</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17.73</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16.77</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0.96</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第三部分</w:t>
      </w:r>
    </w:p>
    <w:p>
      <w:pPr>
        <w:jc w:val="center"/>
        <w:outlineLvl w:val="0"/>
        <w:rPr>
          <w:rFonts w:hint="eastAsia" w:ascii="隶书" w:hAnsi="隶书" w:eastAsia="隶书" w:cs="隶书"/>
          <w:sz w:val="48"/>
          <w:szCs w:val="48"/>
        </w:rPr>
      </w:pP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郏县人大</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471.84</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451.67</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入增加</w:t>
      </w:r>
      <w:r>
        <w:rPr>
          <w:rFonts w:hint="eastAsia" w:ascii="仿宋_GB2312" w:hAnsi="宋体" w:eastAsia="仿宋_GB2312" w:cs="Courier New"/>
          <w:sz w:val="32"/>
          <w:szCs w:val="32"/>
          <w:lang w:val="en-US" w:eastAsia="zh-CN"/>
        </w:rPr>
        <w:t>3.04万元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6.44%，</w:t>
      </w:r>
      <w:r>
        <w:rPr>
          <w:rFonts w:hint="eastAsia" w:ascii="仿宋_GB2312" w:hAnsi="宋体" w:eastAsia="仿宋_GB2312" w:cs="Courier New"/>
          <w:sz w:val="32"/>
          <w:szCs w:val="32"/>
        </w:rPr>
        <w:t>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14.33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3.17</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471.84</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470.28</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99.67</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1.56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0.33</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451.67</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基本支出</w:t>
      </w:r>
      <w:r>
        <w:rPr>
          <w:rFonts w:hint="eastAsia" w:ascii="仿宋_GB2312" w:hAnsi="宋体" w:eastAsia="仿宋_GB2312" w:cs="Courier New"/>
          <w:sz w:val="32"/>
          <w:szCs w:val="32"/>
          <w:lang w:val="en-US" w:eastAsia="zh-CN"/>
        </w:rPr>
        <w:t>408.17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90.37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43.50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9.63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470.28</w:t>
      </w:r>
      <w:r>
        <w:rPr>
          <w:rFonts w:hint="eastAsia" w:ascii="仿宋_GB2312" w:hAnsi="宋体" w:eastAsia="仿宋_GB2312" w:cs="Courier New"/>
          <w:sz w:val="32"/>
          <w:szCs w:val="32"/>
        </w:rPr>
        <w:t>万元。与2015年相比，财政拨款收</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3.04万元，增长6.44%</w:t>
      </w:r>
      <w:r>
        <w:rPr>
          <w:rFonts w:hint="eastAsia" w:ascii="仿宋_GB2312" w:hAnsi="宋体" w:eastAsia="仿宋_GB2312" w:cs="Courier New"/>
          <w:sz w:val="32"/>
          <w:szCs w:val="32"/>
        </w:rPr>
        <w:t>、支</w:t>
      </w:r>
      <w:r>
        <w:rPr>
          <w:rFonts w:hint="eastAsia" w:ascii="仿宋_GB2312" w:hAnsi="宋体" w:eastAsia="仿宋_GB2312" w:cs="Courier New"/>
          <w:sz w:val="32"/>
          <w:szCs w:val="32"/>
          <w:lang w:eastAsia="zh-CN"/>
        </w:rPr>
        <w:t>出减少</w:t>
      </w:r>
      <w:r>
        <w:rPr>
          <w:rFonts w:hint="eastAsia" w:ascii="仿宋_GB2312" w:hAnsi="宋体" w:eastAsia="仿宋_GB2312" w:cs="Courier New"/>
          <w:sz w:val="32"/>
          <w:szCs w:val="32"/>
          <w:lang w:val="en-US" w:eastAsia="zh-CN"/>
        </w:rPr>
        <w:t>14.33万元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3.17</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450.11</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99.65</w:t>
      </w:r>
      <w:r>
        <w:rPr>
          <w:rFonts w:hint="eastAsia" w:ascii="仿宋_GB2312" w:hAnsi="宋体" w:eastAsia="仿宋_GB2312" w:cs="Courier New"/>
          <w:sz w:val="32"/>
          <w:szCs w:val="32"/>
        </w:rPr>
        <w:t>%。与2015年相比，一般公共预算财政拨款支出减少</w:t>
      </w:r>
      <w:r>
        <w:rPr>
          <w:rFonts w:hint="eastAsia" w:ascii="仿宋_GB2312" w:hAnsi="宋体" w:eastAsia="仿宋_GB2312" w:cs="Courier New"/>
          <w:sz w:val="32"/>
          <w:szCs w:val="32"/>
          <w:lang w:val="en-US" w:eastAsia="zh-CN"/>
        </w:rPr>
        <w:t>23.91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5.31</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450.11</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一般公共服务支出</w:t>
      </w:r>
      <w:r>
        <w:rPr>
          <w:rFonts w:hint="eastAsia" w:ascii="仿宋_GB2312" w:hAnsi="宋体" w:eastAsia="仿宋_GB2312" w:cs="Courier New"/>
          <w:sz w:val="32"/>
          <w:szCs w:val="32"/>
          <w:lang w:val="en-US" w:eastAsia="zh-CN"/>
        </w:rPr>
        <w:t>328.07万元，占73%；社会保障和就业支出119.20万元，占26%；医疗卫生及计划生育支出2.83万元，占1%。</w:t>
      </w:r>
    </w:p>
    <w:p>
      <w:pPr>
        <w:numPr>
          <w:ilvl w:val="0"/>
          <w:numId w:val="5"/>
        </w:num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财政拨款支出决算具体情况</w:t>
      </w:r>
    </w:p>
    <w:p>
      <w:pPr>
        <w:numPr>
          <w:numId w:val="0"/>
        </w:numPr>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sz w:val="32"/>
          <w:szCs w:val="32"/>
          <w:lang w:val="en-US" w:eastAsia="zh-CN"/>
        </w:rPr>
        <w:t xml:space="preserve">     2016年一般公共预算财政拨款支出年初预算为334.5万元，支出决算数为450.1万元，超出年初数预算数的34%。超出的原因主要是1.县市两级人大会议未纳入部门预算，2依据劳动部门文件精神，人员工资福利增加。3.离退休人员医疗费年初未纳入部门预算。</w:t>
      </w:r>
    </w:p>
    <w:p>
      <w:pPr>
        <w:numPr>
          <w:numId w:val="0"/>
        </w:numPr>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 xml:space="preserve">      1、</w:t>
      </w:r>
      <w:r>
        <w:rPr>
          <w:rFonts w:hint="eastAsia" w:ascii="仿宋_GB2312" w:hAnsi="宋体" w:eastAsia="仿宋_GB2312" w:cs="Courier New"/>
          <w:b/>
          <w:bCs/>
          <w:sz w:val="32"/>
          <w:szCs w:val="32"/>
        </w:rPr>
        <w:t>一般公共服务</w:t>
      </w:r>
      <w:r>
        <w:rPr>
          <w:rFonts w:hint="eastAsia" w:ascii="仿宋_GB2312" w:hAnsi="宋体" w:eastAsia="仿宋_GB2312" w:cs="Courier New"/>
          <w:b/>
          <w:bCs/>
          <w:sz w:val="32"/>
          <w:szCs w:val="32"/>
          <w:lang w:val="en-US" w:eastAsia="zh-CN"/>
        </w:rPr>
        <w:t>201类，</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316.2</w:t>
      </w:r>
      <w:r>
        <w:rPr>
          <w:rFonts w:hint="eastAsia" w:ascii="仿宋_GB2312" w:hAnsi="宋体" w:eastAsia="仿宋_GB2312" w:cs="Courier New"/>
          <w:sz w:val="32"/>
          <w:szCs w:val="32"/>
        </w:rPr>
        <w:t>万元，支出决</w:t>
      </w:r>
      <w:r>
        <w:rPr>
          <w:rFonts w:hint="eastAsia" w:ascii="仿宋_GB2312" w:hAnsi="宋体" w:eastAsia="仿宋_GB2312" w:cs="Courier New"/>
          <w:sz w:val="32"/>
          <w:szCs w:val="32"/>
          <w:lang w:eastAsia="zh-CN"/>
        </w:rPr>
        <w:t>算</w:t>
      </w:r>
      <w:r>
        <w:rPr>
          <w:rFonts w:hint="eastAsia" w:ascii="仿宋_GB2312" w:hAnsi="宋体" w:eastAsia="仿宋_GB2312" w:cs="Courier New"/>
          <w:sz w:val="32"/>
          <w:szCs w:val="32"/>
        </w:rPr>
        <w:t>为</w:t>
      </w:r>
      <w:r>
        <w:rPr>
          <w:rFonts w:hint="eastAsia" w:ascii="仿宋_GB2312" w:hAnsi="宋体" w:eastAsia="仿宋_GB2312" w:cs="Courier New"/>
          <w:sz w:val="32"/>
          <w:szCs w:val="32"/>
          <w:lang w:val="en-US" w:eastAsia="zh-CN"/>
        </w:rPr>
        <w:t>328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103.7</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县人代会会议费没有纳入部门预算。</w:t>
      </w:r>
    </w:p>
    <w:p>
      <w:pPr>
        <w:numPr>
          <w:numId w:val="0"/>
        </w:numPr>
        <w:adjustRightInd w:val="0"/>
        <w:snapToGrid w:val="0"/>
        <w:spacing w:line="360" w:lineRule="auto"/>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lang w:val="en-US" w:eastAsia="zh-CN"/>
        </w:rPr>
        <w:t xml:space="preserve">     2、社会保障和就业208类，</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110.1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119.2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108</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按照省劳动厅文件精神离退休人员工资福利增加。</w:t>
      </w:r>
    </w:p>
    <w:p>
      <w:pPr>
        <w:numPr>
          <w:numId w:val="0"/>
        </w:numPr>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 xml:space="preserve">     3、 医疗卫生和计划生育支出210类，</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超出</w:t>
      </w:r>
      <w:r>
        <w:rPr>
          <w:rFonts w:hint="eastAsia" w:ascii="仿宋_GB2312" w:hAnsi="宋体" w:eastAsia="仿宋_GB2312" w:cs="Courier New"/>
          <w:sz w:val="32"/>
          <w:szCs w:val="32"/>
        </w:rPr>
        <w:t>年初预算的</w:t>
      </w:r>
      <w:r>
        <w:rPr>
          <w:rFonts w:hint="eastAsia" w:ascii="仿宋_GB2312" w:hAnsi="宋体" w:eastAsia="仿宋_GB2312" w:cs="Courier New"/>
          <w:sz w:val="32"/>
          <w:szCs w:val="32"/>
          <w:lang w:val="en-US" w:eastAsia="zh-CN"/>
        </w:rPr>
        <w:t>283</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离退休人员医疗费未纳入年初部门预算。</w:t>
      </w:r>
    </w:p>
    <w:p>
      <w:pPr>
        <w:numPr>
          <w:ilvl w:val="0"/>
          <w:numId w:val="3"/>
        </w:numPr>
        <w:adjustRightInd w:val="0"/>
        <w:snapToGrid w:val="0"/>
        <w:spacing w:line="360" w:lineRule="auto"/>
        <w:ind w:firstLine="640" w:firstLineChars="200"/>
        <w:outlineLvl w:val="1"/>
        <w:rPr>
          <w:rFonts w:hint="eastAsia" w:ascii="仿宋_GB2312" w:hAnsi="宋体" w:eastAsia="仿宋_GB2312" w:cs="Courier New"/>
          <w:sz w:val="32"/>
          <w:szCs w:val="32"/>
          <w:lang w:val="en-US" w:eastAsia="zh-CN"/>
        </w:rPr>
      </w:pPr>
      <w:r>
        <w:rPr>
          <w:rFonts w:hint="eastAsia" w:ascii="黑体" w:hAnsi="黑体" w:eastAsia="黑体"/>
          <w:sz w:val="32"/>
          <w:szCs w:val="32"/>
        </w:rPr>
        <w:t>一般公共预算财政拨款基本支出决算情况说明</w:t>
      </w:r>
    </w:p>
    <w:p>
      <w:pPr>
        <w:numPr>
          <w:numId w:val="0"/>
        </w:numPr>
        <w:adjustRightInd w:val="0"/>
        <w:snapToGrid w:val="0"/>
        <w:spacing w:line="360" w:lineRule="auto"/>
        <w:outlineLvl w:val="1"/>
        <w:rPr>
          <w:rFonts w:ascii="黑体" w:hAnsi="黑体" w:eastAsia="黑体"/>
          <w:sz w:val="32"/>
          <w:szCs w:val="32"/>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439.06</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318.79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78.7万元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62.56万元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奖金</w:t>
      </w:r>
      <w:r>
        <w:rPr>
          <w:rFonts w:hint="eastAsia" w:ascii="仿宋_GB2312" w:hAnsi="宋体" w:eastAsia="仿宋_GB2312" w:cs="Courier New"/>
          <w:sz w:val="32"/>
          <w:szCs w:val="32"/>
          <w:lang w:val="en-US" w:eastAsia="zh-CN"/>
        </w:rPr>
        <w:t>30.79万元、其他社会保障缴费5.74万元、其他工资及福利支出18.06万元、离休费5.98万元、退休费98.77万元、抚恤金10.77万元、医疗费5.83万元、奖励金0.11万元、住房公积金1.03万元、其他对个人家庭补助支出0.46万元。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120.27万元</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16.8万元、印刷费2.56万元、手续费0.01万元、邮电费8.22万元、物业管理费2.38万元、维修维护费10.39万元、会议费43.5万元、培训费6.45万元、公务接待费0.96万元、专用材料费4.68万元、劳务费0.11万元、福利费2.36万元、公务用车运行及维护16.77万元。</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30.6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17.73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。其中：因公出国（境）支出为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公</w:t>
      </w:r>
      <w:r>
        <w:rPr>
          <w:rFonts w:hint="eastAsia" w:ascii="仿宋_GB2312" w:hAnsi="宋体" w:eastAsia="仿宋_GB2312" w:cs="Courier New"/>
          <w:sz w:val="32"/>
          <w:szCs w:val="32"/>
        </w:rPr>
        <w:t>务用车购置及运行费支出决算为</w:t>
      </w:r>
      <w:r>
        <w:rPr>
          <w:rFonts w:hint="eastAsia" w:ascii="仿宋_GB2312" w:hAnsi="宋体" w:eastAsia="仿宋_GB2312" w:cs="Courier New"/>
          <w:sz w:val="32"/>
          <w:szCs w:val="32"/>
          <w:lang w:val="en-US" w:eastAsia="zh-CN"/>
        </w:rPr>
        <w:t>16.77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完成预算数的</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0.96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，完成预算数的</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2016年度“三公”经费支出决算数小于预算数的主要原因是</w:t>
      </w:r>
      <w:r>
        <w:rPr>
          <w:rFonts w:hint="eastAsia" w:ascii="仿宋_GB2312" w:hAnsi="宋体" w:eastAsia="仿宋_GB2312" w:cs="Courier New"/>
          <w:sz w:val="32"/>
          <w:szCs w:val="32"/>
          <w:lang w:eastAsia="zh-CN"/>
        </w:rPr>
        <w:t>厉行节约，控制支出</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2016年度“三公经费”财政拨款支出比2015年减少了34.24万元，下降了65%。其中，2015年和2016年出国境支出为0，公务用车运行及维护减少34.24万元，下降了66%，公务接待费用基本持平。</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w:t>
      </w:r>
      <w:r>
        <w:rPr>
          <w:rFonts w:hint="eastAsia" w:ascii="仿宋_GB2312" w:hAnsi="宋体" w:eastAsia="仿宋_GB2312" w:cs="Courier New"/>
          <w:sz w:val="32"/>
          <w:szCs w:val="32"/>
          <w:lang w:eastAsia="zh-CN"/>
        </w:rPr>
        <w:t>因公出国（境）经</w:t>
      </w:r>
      <w:r>
        <w:rPr>
          <w:rFonts w:hint="eastAsia" w:ascii="仿宋_GB2312" w:hAnsi="宋体" w:eastAsia="仿宋_GB2312" w:cs="Courier New"/>
          <w:sz w:val="32"/>
          <w:szCs w:val="32"/>
        </w:rPr>
        <w:t>费支出</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16.77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94.58</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0.96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5.42</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val="en-US" w:eastAsia="zh-CN"/>
        </w:rPr>
        <w:t xml:space="preserve">  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万元。全年安排机关</w:t>
      </w:r>
      <w:r>
        <w:rPr>
          <w:rFonts w:hint="eastAsia" w:ascii="仿宋_GB2312" w:hAnsi="宋体" w:eastAsia="仿宋_GB2312" w:cs="Courier New"/>
          <w:sz w:val="32"/>
          <w:szCs w:val="32"/>
          <w:lang w:val="en-US" w:eastAsia="zh-CN"/>
        </w:rPr>
        <w:t>和下属</w:t>
      </w:r>
      <w:r>
        <w:rPr>
          <w:rFonts w:hint="eastAsia" w:ascii="仿宋_GB2312" w:hAnsi="宋体" w:eastAsia="仿宋_GB2312" w:cs="Courier New"/>
          <w:sz w:val="32"/>
          <w:szCs w:val="32"/>
        </w:rPr>
        <w:t>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16.77</w:t>
      </w:r>
      <w:r>
        <w:rPr>
          <w:rFonts w:hint="eastAsia" w:ascii="仿宋_GB2312" w:hAnsi="宋体" w:eastAsia="仿宋_GB2312" w:cs="Courier New"/>
          <w:sz w:val="32"/>
          <w:szCs w:val="32"/>
        </w:rPr>
        <w:t>万元。其中：</w:t>
      </w: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16.77</w:t>
      </w:r>
      <w:r>
        <w:rPr>
          <w:rFonts w:hint="eastAsia" w:ascii="仿宋_GB2312" w:hAnsi="宋体" w:eastAsia="仿宋_GB2312" w:cs="Courier New"/>
          <w:sz w:val="32"/>
          <w:szCs w:val="32"/>
        </w:rPr>
        <w:t>万元。</w:t>
      </w:r>
      <w:r>
        <w:rPr>
          <w:rFonts w:hint="eastAsia" w:ascii="仿宋_GB2312" w:hAnsi="仿宋_GB2312" w:eastAsia="仿宋_GB2312" w:cs="仿宋_GB2312"/>
          <w:sz w:val="32"/>
          <w:szCs w:val="32"/>
        </w:rPr>
        <w:t>主要用于开展工作所需公务用车的燃料费、维修费、过路过桥费、保险费、安全奖励费用等支出</w:t>
      </w:r>
      <w:r>
        <w:rPr>
          <w:rFonts w:hint="eastAsia" w:ascii="仿宋_GB2312" w:hAnsi="宋体" w:eastAsia="仿宋_GB2312" w:cs="Courier New"/>
          <w:sz w:val="32"/>
          <w:szCs w:val="32"/>
        </w:rPr>
        <w:t>。</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0.96</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仿宋_GB2312" w:eastAsia="仿宋_GB2312" w:cs="仿宋_GB2312"/>
          <w:sz w:val="32"/>
          <w:szCs w:val="32"/>
        </w:rPr>
        <w:t>单位按规定开支的各类公务接待（含外宾接待）支出</w:t>
      </w:r>
      <w:r>
        <w:rPr>
          <w:rFonts w:hint="eastAsia" w:ascii="仿宋_GB2312" w:hAnsi="仿宋_GB2312" w:eastAsia="仿宋_GB2312" w:cs="仿宋_GB2312"/>
          <w:sz w:val="32"/>
          <w:szCs w:val="32"/>
          <w:lang w:eastAsia="zh-CN"/>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对</w:t>
      </w:r>
      <w:r>
        <w:rPr>
          <w:rFonts w:hint="eastAsia" w:ascii="仿宋_GB2312" w:hAnsi="宋体" w:eastAsia="仿宋_GB2312" w:cs="Courier New"/>
          <w:sz w:val="32"/>
          <w:szCs w:val="32"/>
        </w:rPr>
        <w:t>2016年度一般公共预算项目支出全面开展绩效自评。其中</w:t>
      </w:r>
      <w:r>
        <w:rPr>
          <w:rFonts w:hint="eastAsia" w:ascii="仿宋_GB2312" w:hAnsi="宋体" w:eastAsia="仿宋_GB2312" w:cs="Courier New"/>
          <w:sz w:val="32"/>
          <w:szCs w:val="32"/>
          <w:lang w:eastAsia="zh-CN"/>
        </w:rPr>
        <w:t>县、市级人大会议各一次，</w:t>
      </w:r>
      <w:r>
        <w:rPr>
          <w:rFonts w:hint="eastAsia" w:ascii="仿宋_GB2312" w:hAnsi="宋体" w:eastAsia="仿宋_GB2312" w:cs="Courier New"/>
          <w:sz w:val="32"/>
          <w:szCs w:val="32"/>
        </w:rPr>
        <w:t>共涉及预算资金</w:t>
      </w:r>
      <w:r>
        <w:rPr>
          <w:rFonts w:hint="eastAsia" w:ascii="仿宋_GB2312" w:hAnsi="宋体" w:eastAsia="仿宋_GB2312" w:cs="Courier New"/>
          <w:sz w:val="32"/>
          <w:szCs w:val="32"/>
          <w:lang w:val="en-US" w:eastAsia="zh-CN"/>
        </w:rPr>
        <w:t>43.5</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在2016年度部门决算中</w:t>
      </w:r>
      <w:r>
        <w:rPr>
          <w:rFonts w:hint="eastAsia" w:ascii="仿宋_GB2312" w:hAnsi="宋体" w:eastAsia="仿宋_GB2312" w:cs="Courier New"/>
          <w:sz w:val="32"/>
          <w:szCs w:val="32"/>
          <w:lang w:eastAsia="zh-CN"/>
        </w:rPr>
        <w:t>县、市级人大会议各一次，</w:t>
      </w:r>
      <w:r>
        <w:rPr>
          <w:rFonts w:hint="eastAsia" w:ascii="仿宋_GB2312" w:hAnsi="宋体" w:eastAsia="仿宋_GB2312" w:cs="Courier New"/>
          <w:sz w:val="32"/>
          <w:szCs w:val="32"/>
        </w:rPr>
        <w:t>项目绩效评价结果。</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bCs/>
          <w:sz w:val="32"/>
          <w:szCs w:val="32"/>
          <w:lang w:eastAsia="zh-CN"/>
        </w:rPr>
      </w:pPr>
      <w:r>
        <w:rPr>
          <w:rFonts w:hint="eastAsia" w:ascii="仿宋_GB2312" w:hAnsi="宋体" w:eastAsia="仿宋_GB2312" w:cs="Courier New"/>
          <w:b/>
          <w:bCs/>
          <w:sz w:val="32"/>
          <w:szCs w:val="32"/>
          <w:lang w:val="en-US" w:eastAsia="zh-CN"/>
        </w:rPr>
        <w:t xml:space="preserve">      </w:t>
      </w:r>
      <w:r>
        <w:rPr>
          <w:rFonts w:hint="eastAsia" w:ascii="仿宋_GB2312" w:hAnsi="宋体" w:eastAsia="仿宋_GB2312" w:cs="Courier New"/>
          <w:b/>
          <w:bCs/>
          <w:sz w:val="32"/>
          <w:szCs w:val="32"/>
          <w:lang w:eastAsia="zh-CN"/>
        </w:rPr>
        <w:t>十、其他重要事项的说明</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eastAsia="zh-CN"/>
        </w:rPr>
      </w:pPr>
      <w:r>
        <w:rPr>
          <w:rFonts w:hint="eastAsia" w:ascii="仿宋_GB2312" w:hAnsi="宋体" w:eastAsia="仿宋_GB2312" w:cs="Courier New"/>
          <w:b w:val="0"/>
          <w:bCs w:val="0"/>
          <w:sz w:val="32"/>
          <w:szCs w:val="32"/>
          <w:lang w:val="en-US" w:eastAsia="zh-CN"/>
        </w:rPr>
        <w:t xml:space="preserve">      （一） </w:t>
      </w:r>
      <w:r>
        <w:rPr>
          <w:rFonts w:hint="eastAsia" w:ascii="仿宋_GB2312" w:hAnsi="宋体" w:eastAsia="仿宋_GB2312" w:cs="Courier New"/>
          <w:b w:val="0"/>
          <w:bCs w:val="0"/>
          <w:sz w:val="32"/>
          <w:szCs w:val="32"/>
          <w:lang w:eastAsia="zh-CN"/>
        </w:rPr>
        <w:t>机关运行经费支出情况</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w:t>
      </w:r>
      <w:r>
        <w:rPr>
          <w:rFonts w:hint="eastAsia" w:ascii="仿宋_GB2312" w:hAnsi="宋体" w:eastAsia="仿宋_GB2312" w:cs="Courier New"/>
          <w:b w:val="0"/>
          <w:bCs w:val="0"/>
          <w:sz w:val="32"/>
          <w:szCs w:val="32"/>
          <w:lang w:eastAsia="zh-CN"/>
        </w:rPr>
        <w:t>人大机关</w:t>
      </w:r>
      <w:r>
        <w:rPr>
          <w:rFonts w:hint="eastAsia" w:ascii="仿宋_GB2312" w:hAnsi="宋体" w:eastAsia="仿宋_GB2312" w:cs="Courier New"/>
          <w:b w:val="0"/>
          <w:bCs w:val="0"/>
          <w:sz w:val="32"/>
          <w:szCs w:val="32"/>
          <w:lang w:val="en-US" w:eastAsia="zh-CN"/>
        </w:rPr>
        <w:t>2016年行政运行经费支出决算210.72万元，主要用于机关正常运转。</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（二）政府采购情况说明</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2016年政府采购决算10.71万元，主要用于办公设备、办公家具的更新购置。</w:t>
      </w:r>
    </w:p>
    <w:p>
      <w:pPr>
        <w:numPr>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（三）公务用车情况</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人大机关2016年现有6俩公务用车，没有购置新车，2016年决算支出公务用车运行及维护费16.77万元，用于正常的加油、维修、保险及相关费用。</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（四）因公出国（境）情况</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val="0"/>
          <w:bCs w:val="0"/>
          <w:sz w:val="32"/>
          <w:szCs w:val="32"/>
          <w:lang w:val="en-US" w:eastAsia="zh-CN"/>
        </w:rPr>
        <w:t xml:space="preserve">    2016年人大机关因公出国（境）为零。</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val="0"/>
          <w:bCs w:val="0"/>
          <w:sz w:val="32"/>
          <w:szCs w:val="32"/>
          <w:lang w:eastAsia="zh-CN"/>
        </w:rPr>
      </w:pP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b/>
          <w:bCs/>
          <w:sz w:val="32"/>
          <w:szCs w:val="32"/>
          <w:lang w:eastAsia="zh-CN"/>
        </w:rPr>
      </w:pP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30" w:firstLineChars="196"/>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jc w:val="left"/>
        <w:rPr>
          <w:rFonts w:hint="eastAsia" w:ascii="黑体" w:hAnsi="黑体" w:eastAsia="黑体" w:cs="黑体"/>
          <w:sz w:val="32"/>
          <w:szCs w:val="32"/>
          <w:highlight w:val="yellow"/>
          <w:lang w:val="en-US" w:eastAsia="zh-CN"/>
        </w:rPr>
      </w:pPr>
      <w:bookmarkStart w:id="0" w:name="_GoBack"/>
      <w:bookmarkEnd w:id="0"/>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Lucida Console"/>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宋体"/>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宋体"/>
    <w:panose1 w:val="02010600040101010101"/>
    <w:charset w:val="86"/>
    <w:family w:val="auto"/>
    <w:pitch w:val="default"/>
    <w:sig w:usb0="00000287" w:usb1="080F0000" w:usb2="00000000" w:usb3="00000000" w:csb0="0004009F" w:csb1="DFD70000"/>
  </w:font>
  <w:font w:name="华文行楷">
    <w:altName w:val="宋体"/>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Lucida Console"/>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Lucida Console"/>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Trebuchet MS"/>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Lucida Console"/>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Lucida Console"/>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Lucida Console"/>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Lucida Console"/>
    <w:panose1 w:val="02010609000101010101"/>
    <w:charset w:val="00"/>
    <w:family w:val="auto"/>
    <w:pitch w:val="default"/>
    <w:sig w:usb0="00000001" w:usb1="080E0000" w:usb2="00000000" w:usb3="00000000" w:csb0="00000000" w:csb1="00000000"/>
  </w:font>
  <w:font w:name="文星简大标宋">
    <w:altName w:val="宋体"/>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Lucida Console"/>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Lucida Console"/>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V Boli">
    <w:panose1 w:val="02000500030200090000"/>
    <w:charset w:val="00"/>
    <w:family w:val="auto"/>
    <w:pitch w:val="default"/>
    <w:sig w:usb0="00000003" w:usb1="00000000" w:usb2="00000100" w:usb3="00000000" w:csb0="00000001" w:csb1="00000000"/>
  </w:font>
  <w:font w:name="Trebuchet MS">
    <w:panose1 w:val="020B0603020202020204"/>
    <w:charset w:val="00"/>
    <w:family w:val="auto"/>
    <w:pitch w:val="default"/>
    <w:sig w:usb0="00000287" w:usb1="00000003" w:usb2="00000000" w:usb3="00000000" w:csb0="2000009F" w:csb1="00000000"/>
  </w:font>
  <w:font w:name="Bookman Old Style">
    <w:altName w:val="Segoe Print"/>
    <w:panose1 w:val="02050604050505020204"/>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Sylfaen">
    <w:panose1 w:val="010A0502050306030303"/>
    <w:charset w:val="00"/>
    <w:family w:val="auto"/>
    <w:pitch w:val="default"/>
    <w:sig w:usb0="04000687" w:usb1="00000000" w:usb2="00000000" w:usb3="00000000" w:csb0="2000009F" w:csb1="00000000"/>
  </w:font>
  <w:font w:name="Monotype Corsiva">
    <w:altName w:val="Comic Sans MS"/>
    <w:panose1 w:val="03010101010201010101"/>
    <w:charset w:val="00"/>
    <w:family w:val="auto"/>
    <w:pitch w:val="default"/>
    <w:sig w:usb0="00000287" w:usb1="00000000" w:usb2="00000000" w:usb3="00000000" w:csb0="2000009F" w:csb1="DFD7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40000013" w:usb2="00000000" w:usb3="00000000" w:csb0="2000009F" w:csb1="00000000"/>
  </w:font>
  <w:font w:name="Gabriola">
    <w:panose1 w:val="04040605051002020D02"/>
    <w:charset w:val="00"/>
    <w:family w:val="auto"/>
    <w:pitch w:val="default"/>
    <w:sig w:usb0="E00002EF" w:usb1="5000204B"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1">
      <w:start w:val="1"/>
      <w:numFmt w:val="chineseCounting"/>
      <w:suff w:val="nothing"/>
      <w:lvlText w:val="%1、"/>
      <w:lvlJc w:val="left"/>
    </w:lvl>
  </w:abstractNum>
  <w:abstractNum w:abstractNumId="6">
    <w:nsid w:val="00000006"/>
    <w:multiLevelType w:val="singleLevel"/>
    <w:tmpl w:val="00000006"/>
    <w:lvl w:ilvl="0" w:tentative="1">
      <w:start w:val="1"/>
      <w:numFmt w:val="chineseCounting"/>
      <w:suff w:val="nothing"/>
      <w:lvlText w:val="（%1）"/>
      <w:lvlJc w:val="left"/>
      <w:pPr>
        <w:ind w:left="0" w:firstLine="420"/>
      </w:pPr>
      <w:rPr>
        <w:rFonts w:hint="eastAsia"/>
      </w:rPr>
    </w:lvl>
  </w:abstractNum>
  <w:abstractNum w:abstractNumId="13">
    <w:nsid w:val="0000000D"/>
    <w:multiLevelType w:val="singleLevel"/>
    <w:tmpl w:val="0000000D"/>
    <w:lvl w:ilvl="0" w:tentative="1">
      <w:start w:val="1"/>
      <w:numFmt w:val="chineseCounting"/>
      <w:suff w:val="nothing"/>
      <w:lvlText w:val="%1、"/>
      <w:lvlJc w:val="left"/>
      <w:pPr>
        <w:ind w:left="0" w:firstLine="420"/>
      </w:pPr>
      <w:rPr>
        <w:rFonts w:hint="eastAsia"/>
      </w:rPr>
    </w:lvl>
  </w:abstractNum>
  <w:abstractNum w:abstractNumId="14">
    <w:nsid w:val="0000000E"/>
    <w:multiLevelType w:val="singleLevel"/>
    <w:tmpl w:val="0000000E"/>
    <w:lvl w:ilvl="0" w:tentative="1">
      <w:start w:val="3"/>
      <w:numFmt w:val="decimal"/>
      <w:suff w:val="nothing"/>
      <w:lvlText w:val="%1、"/>
      <w:lvlJc w:val="left"/>
    </w:lvl>
  </w:abstractNum>
  <w:abstractNum w:abstractNumId="15">
    <w:nsid w:val="0000000F"/>
    <w:multiLevelType w:val="singleLevel"/>
    <w:tmpl w:val="0000000F"/>
    <w:lvl w:ilvl="0" w:tentative="1">
      <w:start w:val="3"/>
      <w:numFmt w:val="chineseCounting"/>
      <w:suff w:val="nothing"/>
      <w:lvlText w:val="（%1）"/>
      <w:lvlJc w:val="left"/>
    </w:lvl>
  </w:abstractNum>
  <w:abstractNum w:abstractNumId="16">
    <w:nsid w:val="00000010"/>
    <w:multiLevelType w:val="singleLevel"/>
    <w:tmpl w:val="00000010"/>
    <w:lvl w:ilvl="0" w:tentative="1">
      <w:start w:val="1"/>
      <w:numFmt w:val="chineseCounting"/>
      <w:suff w:val="nothing"/>
      <w:lvlText w:val="（%1）"/>
      <w:lvlJc w:val="left"/>
      <w:pPr>
        <w:ind w:left="0" w:firstLine="420"/>
      </w:pPr>
      <w:rPr>
        <w:rFonts w:hint="eastAsia"/>
      </w:rPr>
    </w:lvl>
  </w:abstractNum>
  <w:num w:numId="1">
    <w:abstractNumId w:val="1"/>
  </w:num>
  <w:num w:numId="2">
    <w:abstractNumId w:val="14"/>
  </w:num>
  <w:num w:numId="3">
    <w:abstractNumId w:val="13"/>
  </w:num>
  <w:num w:numId="4">
    <w:abstractNumId w:val="16"/>
  </w:num>
  <w:num w:numId="5">
    <w:abstractNumId w:val="1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31"/>
    <w:basedOn w:val="4"/>
    <w:rPr>
      <w:rFonts w:ascii="Arial" w:hAnsi="Arial" w:cs="Arial"/>
      <w:color w:val="000000"/>
      <w:sz w:val="16"/>
      <w:szCs w:val="16"/>
      <w:u w:val="none"/>
    </w:rPr>
  </w:style>
  <w:style w:type="character" w:customStyle="1" w:styleId="6">
    <w:name w:val="font01"/>
    <w:basedOn w:val="4"/>
    <w:rPr>
      <w:rFonts w:hint="default" w:ascii="Arial" w:hAnsi="Arial" w:cs="Arial"/>
      <w:color w:val="000000"/>
      <w:sz w:val="16"/>
      <w:szCs w:val="16"/>
      <w:u w:val="none"/>
    </w:rPr>
  </w:style>
  <w:style w:type="character" w:customStyle="1" w:styleId="7">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wsj</dc:creator>
  <cp:lastPrinted>2017-11-18T00:20:00Z</cp:lastPrinted>
  <dcterms:modified xsi:type="dcterms:W3CDTF">2017-11-16T19:47:10Z</dcterms:modified>
  <dc:title>wsj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