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隶书" w:hAnsi="隶书" w:eastAsia="隶书" w:cs="隶书"/>
          <w:sz w:val="52"/>
          <w:szCs w:val="52"/>
          <w:lang w:eastAsia="zh-CN"/>
        </w:rPr>
        <w:t>郏县县直机关工委</w:t>
      </w: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郏县县直机关工委</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县直机关工委</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县直机关工委</w:t>
      </w:r>
      <w:r>
        <w:rPr>
          <w:rFonts w:hint="eastAsia" w:ascii="黑体" w:hAnsi="黑体" w:eastAsia="黑体" w:cs="黑体"/>
          <w:sz w:val="32"/>
          <w:szCs w:val="32"/>
        </w:rPr>
        <w:t>2016年度部门决算情况说明</w:t>
      </w:r>
    </w:p>
    <w:p>
      <w:pPr>
        <w:jc w:val="left"/>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县直机关工委</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snapToGrid w:val="0"/>
        <w:spacing w:line="600" w:lineRule="exact"/>
        <w:ind w:firstLine="640" w:firstLineChars="200"/>
        <w:rPr>
          <w:rFonts w:hint="eastAsia" w:ascii="仿宋_GB2312" w:eastAsia="仿宋_GB2312"/>
          <w:color w:val="212121"/>
          <w:sz w:val="32"/>
          <w:szCs w:val="32"/>
        </w:rPr>
      </w:pPr>
      <w:r>
        <w:rPr>
          <w:rFonts w:hint="eastAsia" w:ascii="仿宋_GB2312" w:hAnsi="仿宋" w:eastAsia="仿宋_GB2312"/>
          <w:sz w:val="32"/>
          <w:szCs w:val="32"/>
        </w:rPr>
        <w:t>1．部门职能：</w:t>
      </w:r>
      <w:r>
        <w:rPr>
          <w:rFonts w:hint="eastAsia" w:ascii="仿宋_GB2312" w:eastAsia="仿宋_GB2312"/>
          <w:color w:val="212121"/>
          <w:sz w:val="32"/>
          <w:szCs w:val="32"/>
        </w:rPr>
        <w:t>县直机关工委是县委的派出机构，领导县直机关基层党组织的党务工作，具体职能如下：</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（1）制定县直机关党的建设规划，分类指导机关党的建设工作。</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（2）宣传和执行党的路线、方针和政策，宣传和执行上级组织与县委的决议、发挥党组织的战斗堡垒作用和党员先锋模范作用。</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（3）组织党员认真学习马列主义、毛泽东思想、邓小平理论、“三个代表”重要思想为指导，深入贯彻落实科学发展观、党的路线、方针政策及决议，学习科学文化和业务知识。</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（4）负责县直机关党组织（总支、支部）的建立、改选，负责县委表彰的先进党支部，优秀党员、优秀党务工作者的考核上报工作，搞好县直机关党建工作的调查研究。</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（5）负责教育培养和考察入党积极分子，对新发展预备党员的审批和需转正党员的审批。</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（6）对党员进行管理、督促党员履行义务，保障党员的权利不受侵犯，严格侵犯执行党的纪律对党员进行监督，加强党的作风建设。</w:t>
      </w:r>
    </w:p>
    <w:p>
      <w:pPr>
        <w:snapToGrid w:val="0"/>
        <w:spacing w:line="600" w:lineRule="exact"/>
        <w:ind w:firstLine="640" w:firstLineChars="200"/>
        <w:rPr>
          <w:rFonts w:hint="eastAsia" w:ascii="仿宋_GB2312" w:eastAsia="仿宋_GB2312"/>
          <w:color w:val="212121"/>
          <w:sz w:val="32"/>
          <w:szCs w:val="32"/>
        </w:rPr>
      </w:pPr>
      <w:r>
        <w:rPr>
          <w:rFonts w:hint="eastAsia" w:ascii="仿宋_GB2312" w:eastAsia="仿宋_GB2312"/>
          <w:color w:val="212121"/>
          <w:sz w:val="32"/>
          <w:szCs w:val="32"/>
        </w:rPr>
        <w:t>（7）抓好县直武装工作，加强国防教育工作，做好民兵训练、民兵整组和征兵工作。</w:t>
      </w:r>
    </w:p>
    <w:p>
      <w:pPr>
        <w:snapToGrid w:val="0"/>
        <w:spacing w:line="600" w:lineRule="exact"/>
        <w:ind w:firstLine="640" w:firstLineChars="200"/>
        <w:rPr>
          <w:rFonts w:hint="eastAsia" w:ascii="仿宋_GB2312" w:hAnsi="仿宋" w:eastAsia="仿宋_GB2312"/>
          <w:sz w:val="32"/>
          <w:szCs w:val="32"/>
        </w:rPr>
      </w:pPr>
      <w:r>
        <w:rPr>
          <w:rFonts w:hint="eastAsia" w:ascii="仿宋_GB2312" w:eastAsia="仿宋_GB2312"/>
          <w:color w:val="212121"/>
          <w:sz w:val="32"/>
          <w:szCs w:val="32"/>
        </w:rPr>
        <w:t>（8） 做好县委安排的其他工作任务。</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．人员情况：县直工委行政编制3个，实有人员1</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个，其中在职</w:t>
      </w:r>
      <w:r>
        <w:rPr>
          <w:rFonts w:hint="eastAsia" w:ascii="仿宋_GB2312" w:hAnsi="仿宋" w:eastAsia="仿宋_GB2312"/>
          <w:sz w:val="32"/>
          <w:szCs w:val="32"/>
          <w:lang w:val="en-US" w:eastAsia="zh-CN"/>
        </w:rPr>
        <w:t>6</w:t>
      </w:r>
      <w:r>
        <w:rPr>
          <w:rFonts w:hint="eastAsia" w:ascii="仿宋_GB2312" w:hAnsi="仿宋" w:eastAsia="仿宋_GB2312"/>
          <w:sz w:val="32"/>
          <w:szCs w:val="32"/>
        </w:rPr>
        <w:t>人，退休</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r>
        <w:rPr>
          <w:rFonts w:hint="eastAsia" w:ascii="仿宋_GB2312" w:hAnsi="仿宋" w:eastAsia="仿宋_GB2312"/>
          <w:sz w:val="32"/>
          <w:szCs w:val="32"/>
          <w:lang w:val="en-US" w:eastAsia="zh-CN"/>
        </w:rPr>
        <w:t>。</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lang w:eastAsia="zh-CN"/>
        </w:rPr>
        <w:t>县直工委只有本级决算。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rPr>
      </w:pPr>
      <w:r>
        <w:rPr>
          <w:rFonts w:hint="eastAsia" w:ascii="隶书" w:hAnsi="隶书" w:eastAsia="隶书" w:cs="隶书"/>
          <w:sz w:val="48"/>
          <w:szCs w:val="48"/>
          <w:lang w:eastAsia="zh-CN"/>
        </w:rPr>
        <w:t>县直机关工委</w:t>
      </w:r>
      <w:r>
        <w:rPr>
          <w:rFonts w:hint="eastAsia" w:ascii="隶书" w:hAnsi="隶书" w:eastAsia="隶书" w:cs="隶书"/>
          <w:sz w:val="48"/>
          <w:szCs w:val="48"/>
        </w:rPr>
        <w:t>2016年度部门决算表</w:t>
      </w: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58.22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33.31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26.51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58.22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59.82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2.06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61.88</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61.88</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2"/>
                <w:szCs w:val="22"/>
                <w:u w:val="none"/>
                <w:lang w:val="en-US" w:eastAsia="zh-CN"/>
              </w:rPr>
              <w:t>58.22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2"/>
                <w:szCs w:val="22"/>
                <w:u w:val="none"/>
                <w:lang w:val="en-US" w:eastAsia="zh-CN"/>
              </w:rPr>
              <w:t>58.22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rPr>
              <w:t>31.71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rPr>
              <w:t>31.71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20131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党委办公厅（室）及相关机构事务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31.71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31.71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2013101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31.71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31.71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26.51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26.51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21.51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21.51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 xml:space="preserve">  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21.51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21.51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20899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其他社会保障和就业支出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5.00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5.00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2089901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 xml:space="preserve">  其他社会保障和就业支出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5.00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rPr>
              <w:t>5.00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22"/>
                <w:szCs w:val="22"/>
                <w:u w:val="none"/>
                <w:lang w:val="en-US" w:eastAsia="zh-CN"/>
              </w:rPr>
              <w:t>59.82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22"/>
                <w:szCs w:val="22"/>
                <w:u w:val="none"/>
                <w:lang w:val="en-US" w:eastAsia="zh-CN"/>
              </w:rPr>
              <w:t>59.82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20131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党委办公厅（室）及相关机构事务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2013101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26.51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26.51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 xml:space="preserve">  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其他社会保障和就业支出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2089901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 xml:space="preserve">  其他社会保障和就业支出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
        <w:gridCol w:w="1201"/>
        <w:gridCol w:w="675"/>
        <w:gridCol w:w="269"/>
        <w:gridCol w:w="144"/>
        <w:gridCol w:w="261"/>
        <w:gridCol w:w="54"/>
        <w:gridCol w:w="1072"/>
        <w:gridCol w:w="344"/>
        <w:gridCol w:w="1432"/>
        <w:gridCol w:w="316"/>
        <w:gridCol w:w="157"/>
        <w:gridCol w:w="76"/>
        <w:gridCol w:w="104"/>
        <w:gridCol w:w="420"/>
        <w:gridCol w:w="242"/>
        <w:gridCol w:w="809"/>
        <w:gridCol w:w="190"/>
        <w:gridCol w:w="59"/>
        <w:gridCol w:w="349"/>
        <w:gridCol w:w="951"/>
        <w:gridCol w:w="1300"/>
      </w:tblGrid>
      <w:tr>
        <w:trPr>
          <w:gridBefore w:val="1"/>
          <w:wBefore w:w="15" w:type="dxa"/>
          <w:trHeight w:val="169" w:hRule="atLeast"/>
        </w:trPr>
        <w:tc>
          <w:tcPr>
            <w:tcW w:w="10425" w:type="dxa"/>
            <w:gridSpan w:val="21"/>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gridBefore w:val="1"/>
          <w:wBefore w:w="15" w:type="dxa"/>
          <w:trHeight w:val="107" w:hRule="atLeast"/>
        </w:trPr>
        <w:tc>
          <w:tcPr>
            <w:tcW w:w="2289" w:type="dxa"/>
            <w:gridSpan w:val="4"/>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gridSpan w:val="2"/>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5"/>
            <w:vAlign w:val="center"/>
          </w:tcPr>
          <w:p>
            <w:pPr>
              <w:jc w:val="right"/>
              <w:rPr>
                <w:rFonts w:ascii="宋体" w:hAnsi="宋体" w:eastAsia="宋体" w:cs="宋体"/>
                <w:color w:val="000000"/>
                <w:sz w:val="16"/>
                <w:szCs w:val="16"/>
              </w:rPr>
            </w:pPr>
          </w:p>
        </w:tc>
        <w:tc>
          <w:tcPr>
            <w:tcW w:w="999" w:type="dxa"/>
            <w:gridSpan w:val="2"/>
            <w:vAlign w:val="center"/>
          </w:tcPr>
          <w:p>
            <w:pPr>
              <w:jc w:val="right"/>
              <w:rPr>
                <w:rFonts w:ascii="宋体" w:hAnsi="宋体" w:eastAsia="宋体" w:cs="宋体"/>
                <w:color w:val="000000"/>
                <w:sz w:val="16"/>
                <w:szCs w:val="16"/>
              </w:rPr>
            </w:pPr>
          </w:p>
        </w:tc>
        <w:tc>
          <w:tcPr>
            <w:tcW w:w="2659" w:type="dxa"/>
            <w:gridSpan w:val="4"/>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gridBefore w:val="1"/>
          <w:wBefore w:w="15" w:type="dxa"/>
          <w:trHeight w:val="90" w:hRule="atLeast"/>
        </w:trPr>
        <w:tc>
          <w:tcPr>
            <w:tcW w:w="2289" w:type="dxa"/>
            <w:gridSpan w:val="4"/>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gridSpan w:val="2"/>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5"/>
            <w:vAlign w:val="center"/>
          </w:tcPr>
          <w:p>
            <w:pPr>
              <w:jc w:val="right"/>
              <w:rPr>
                <w:rFonts w:ascii="宋体" w:hAnsi="宋体" w:eastAsia="宋体" w:cs="宋体"/>
                <w:color w:val="000000"/>
                <w:sz w:val="16"/>
                <w:szCs w:val="16"/>
              </w:rPr>
            </w:pPr>
          </w:p>
        </w:tc>
        <w:tc>
          <w:tcPr>
            <w:tcW w:w="999" w:type="dxa"/>
            <w:gridSpan w:val="2"/>
            <w:vAlign w:val="center"/>
          </w:tcPr>
          <w:p>
            <w:pPr>
              <w:jc w:val="right"/>
              <w:rPr>
                <w:rFonts w:ascii="宋体" w:hAnsi="宋体" w:eastAsia="宋体" w:cs="宋体"/>
                <w:color w:val="000000"/>
                <w:sz w:val="16"/>
                <w:szCs w:val="16"/>
              </w:rPr>
            </w:pPr>
          </w:p>
        </w:tc>
        <w:tc>
          <w:tcPr>
            <w:tcW w:w="2659" w:type="dxa"/>
            <w:gridSpan w:val="4"/>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gridBefore w:val="1"/>
          <w:wBefore w:w="15" w:type="dxa"/>
          <w:trHeight w:val="285" w:hRule="atLeast"/>
        </w:trPr>
        <w:tc>
          <w:tcPr>
            <w:tcW w:w="4020"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13"/>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gridBefore w:val="1"/>
          <w:wBefore w:w="15" w:type="dxa"/>
          <w:trHeight w:val="480"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58.22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562"/>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33.31</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22"/>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33.31</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26.51</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26.51</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58.22</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left" w:pos="502"/>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59.82</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59.82</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2.06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37"/>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2.06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gridBefore w:val="1"/>
          <w:wBefore w:w="15" w:type="dxa"/>
          <w:trHeight w:val="285" w:hRule="atLeast"/>
        </w:trPr>
        <w:tc>
          <w:tcPr>
            <w:tcW w:w="2145"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gridBefore w:val="1"/>
          <w:wBefore w:w="15" w:type="dxa"/>
          <w:trHeight w:val="90" w:hRule="atLeast"/>
        </w:trPr>
        <w:tc>
          <w:tcPr>
            <w:tcW w:w="2145"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3"/>
            <w:tcBorders>
              <w:top w:val="single" w:color="000000" w:sz="4" w:space="0"/>
              <w:left w:val="single" w:color="000000" w:sz="4" w:space="0"/>
              <w:bottom w:val="single" w:color="000000" w:sz="12" w:space="0"/>
              <w:right w:val="single" w:color="000000" w:sz="4" w:space="0"/>
            </w:tcBorders>
            <w:vAlign w:val="center"/>
          </w:tcPr>
          <w:p>
            <w:pPr>
              <w:widowControl/>
              <w:tabs>
                <w:tab w:val="center" w:pos="720"/>
                <w:tab w:val="right" w:pos="164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61.88</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085"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4"/>
            <w:tcBorders>
              <w:top w:val="single" w:color="000000" w:sz="4" w:space="0"/>
              <w:left w:val="single" w:color="000000" w:sz="4" w:space="0"/>
              <w:bottom w:val="single" w:color="000000" w:sz="12" w:space="0"/>
              <w:right w:val="single" w:color="000000" w:sz="4" w:space="0"/>
            </w:tcBorders>
            <w:vAlign w:val="center"/>
          </w:tcPr>
          <w:p>
            <w:pPr>
              <w:widowControl/>
              <w:tabs>
                <w:tab w:val="left" w:pos="592"/>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61.88</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gridSpan w:val="2"/>
            <w:tcBorders>
              <w:top w:val="single" w:color="000000" w:sz="4" w:space="0"/>
              <w:left w:val="single" w:color="000000" w:sz="4" w:space="0"/>
              <w:bottom w:val="single" w:color="000000" w:sz="12" w:space="0"/>
              <w:right w:val="single" w:color="000000" w:sz="4" w:space="0"/>
            </w:tcBorders>
            <w:vAlign w:val="center"/>
          </w:tcPr>
          <w:p>
            <w:pPr>
              <w:widowControl/>
              <w:tabs>
                <w:tab w:val="left" w:pos="567"/>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61.88</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gridBefore w:val="1"/>
          <w:wBefore w:w="15" w:type="dxa"/>
          <w:trHeight w:val="495" w:hRule="atLeast"/>
        </w:trPr>
        <w:tc>
          <w:tcPr>
            <w:tcW w:w="10425" w:type="dxa"/>
            <w:gridSpan w:val="2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75" w:hRule="atLeast"/>
        </w:trPr>
        <w:tc>
          <w:tcPr>
            <w:tcW w:w="1044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3"/>
            <w:vAlign w:val="center"/>
          </w:tcPr>
          <w:p>
            <w:pPr>
              <w:rPr>
                <w:rFonts w:ascii="宋体" w:hAnsi="宋体" w:eastAsia="宋体" w:cs="宋体"/>
                <w:color w:val="000000"/>
                <w:sz w:val="16"/>
                <w:szCs w:val="16"/>
              </w:rPr>
            </w:pPr>
          </w:p>
        </w:tc>
        <w:tc>
          <w:tcPr>
            <w:tcW w:w="1800" w:type="dxa"/>
            <w:gridSpan w:val="5"/>
            <w:vAlign w:val="center"/>
          </w:tcPr>
          <w:p>
            <w:pPr>
              <w:rPr>
                <w:rFonts w:ascii="宋体" w:hAnsi="宋体" w:eastAsia="宋体" w:cs="宋体"/>
                <w:color w:val="000000"/>
                <w:sz w:val="16"/>
                <w:szCs w:val="16"/>
              </w:rPr>
            </w:pPr>
          </w:p>
        </w:tc>
        <w:tc>
          <w:tcPr>
            <w:tcW w:w="2325" w:type="dxa"/>
            <w:gridSpan w:val="5"/>
            <w:vAlign w:val="center"/>
          </w:tcPr>
          <w:p>
            <w:pPr>
              <w:rPr>
                <w:rFonts w:ascii="宋体" w:hAnsi="宋体" w:eastAsia="宋体" w:cs="宋体"/>
                <w:color w:val="000000"/>
                <w:sz w:val="16"/>
                <w:szCs w:val="16"/>
              </w:rPr>
            </w:pPr>
          </w:p>
        </w:tc>
        <w:tc>
          <w:tcPr>
            <w:tcW w:w="1575" w:type="dxa"/>
            <w:gridSpan w:val="4"/>
            <w:vAlign w:val="center"/>
          </w:tcPr>
          <w:p>
            <w:pPr>
              <w:rPr>
                <w:rFonts w:ascii="宋体" w:hAnsi="宋体" w:eastAsia="宋体" w:cs="宋体"/>
                <w:color w:val="000000"/>
                <w:sz w:val="16"/>
                <w:szCs w:val="16"/>
              </w:rPr>
            </w:pPr>
          </w:p>
        </w:tc>
        <w:tc>
          <w:tcPr>
            <w:tcW w:w="2849" w:type="dxa"/>
            <w:gridSpan w:val="5"/>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3"/>
            <w:vAlign w:val="center"/>
          </w:tcPr>
          <w:p>
            <w:pPr>
              <w:rPr>
                <w:rFonts w:ascii="宋体" w:hAnsi="宋体" w:eastAsia="宋体" w:cs="宋体"/>
                <w:color w:val="000000"/>
                <w:sz w:val="16"/>
                <w:szCs w:val="16"/>
              </w:rPr>
            </w:pPr>
          </w:p>
        </w:tc>
        <w:tc>
          <w:tcPr>
            <w:tcW w:w="1800" w:type="dxa"/>
            <w:gridSpan w:val="5"/>
            <w:vAlign w:val="center"/>
          </w:tcPr>
          <w:p>
            <w:pPr>
              <w:rPr>
                <w:rFonts w:ascii="宋体" w:hAnsi="宋体" w:eastAsia="宋体" w:cs="宋体"/>
                <w:color w:val="000000"/>
                <w:sz w:val="16"/>
                <w:szCs w:val="16"/>
              </w:rPr>
            </w:pPr>
          </w:p>
        </w:tc>
        <w:tc>
          <w:tcPr>
            <w:tcW w:w="2325" w:type="dxa"/>
            <w:gridSpan w:val="5"/>
            <w:vAlign w:val="center"/>
          </w:tcPr>
          <w:p>
            <w:pPr>
              <w:rPr>
                <w:rFonts w:ascii="宋体" w:hAnsi="宋体" w:eastAsia="宋体" w:cs="宋体"/>
                <w:color w:val="000000"/>
                <w:sz w:val="16"/>
                <w:szCs w:val="16"/>
              </w:rPr>
            </w:pPr>
          </w:p>
        </w:tc>
        <w:tc>
          <w:tcPr>
            <w:tcW w:w="1575" w:type="dxa"/>
            <w:gridSpan w:val="4"/>
            <w:vAlign w:val="center"/>
          </w:tcPr>
          <w:p>
            <w:pPr>
              <w:rPr>
                <w:rFonts w:ascii="宋体" w:hAnsi="宋体" w:eastAsia="宋体" w:cs="宋体"/>
                <w:color w:val="000000"/>
                <w:sz w:val="16"/>
                <w:szCs w:val="16"/>
              </w:rPr>
            </w:pPr>
          </w:p>
        </w:tc>
        <w:tc>
          <w:tcPr>
            <w:tcW w:w="2849" w:type="dxa"/>
            <w:gridSpan w:val="5"/>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8"/>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22"/>
                <w:szCs w:val="22"/>
                <w:u w:val="none"/>
                <w:lang w:val="en-US" w:eastAsia="zh-CN"/>
              </w:rPr>
              <w:t>59.82</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22"/>
                <w:szCs w:val="22"/>
                <w:u w:val="none"/>
                <w:lang w:val="en-US" w:eastAsia="zh-CN"/>
              </w:rPr>
              <w:t>59.82</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一般公共服务支出</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20131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党委办公厅（室）及相关机构事务</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 xml:space="preserve">  行政运行</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33.31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社会保障和就业支出</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26.51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26.51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行政事业单位离退休</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 xml:space="preserve">  归口管理的行政单位离退休</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21.51</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20899</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其他社会保障和就业支出</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2089901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 xml:space="preserve">  其他社会保障和就业支出</w:t>
            </w: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rPr>
              <w:t>5.00</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8"/>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gridSpan w:val="2"/>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6"/>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8"/>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2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left" w:pos="592"/>
                <w:tab w:val="right" w:pos="179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18.56</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13.36</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7.9</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7.42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7.23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2.82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0.75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1.05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0.63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1.63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27.9</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20.66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0.33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0.19</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0.4</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1.36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1.57</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5.85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tabs>
                <w:tab w:val="left" w:pos="406"/>
              </w:tabs>
              <w:jc w:val="left"/>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eastAsia="zh-CN"/>
              </w:rPr>
              <w:tab/>
            </w:r>
            <w:r>
              <w:rPr>
                <w:rFonts w:hint="eastAsia" w:ascii="宋体" w:hAnsi="宋体" w:eastAsia="宋体" w:cs="宋体"/>
                <w:b/>
                <w:i w:val="0"/>
                <w:color w:val="000000"/>
                <w:sz w:val="16"/>
                <w:szCs w:val="16"/>
                <w:u w:val="none"/>
                <w:lang w:val="en-US" w:eastAsia="zh-CN"/>
              </w:rPr>
              <w:t>1.05</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12" w:space="0"/>
              <w:right w:val="single" w:color="000000" w:sz="4" w:space="0"/>
            </w:tcBorders>
            <w:vAlign w:val="center"/>
          </w:tcPr>
          <w:p>
            <w:pPr>
              <w:tabs>
                <w:tab w:val="left" w:pos="466"/>
              </w:tabs>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ab/>
            </w:r>
            <w:r>
              <w:rPr>
                <w:rFonts w:hint="eastAsia" w:ascii="宋体" w:hAnsi="宋体" w:eastAsia="宋体" w:cs="宋体"/>
                <w:i w:val="0"/>
                <w:color w:val="000000"/>
                <w:sz w:val="16"/>
                <w:szCs w:val="16"/>
                <w:u w:val="none"/>
                <w:lang w:val="en-US" w:eastAsia="zh-CN"/>
              </w:rPr>
              <w:t>1.05</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21"/>
              </w:tabs>
              <w:jc w:val="left"/>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eastAsia="zh-CN"/>
              </w:rPr>
              <w:tab/>
            </w:r>
            <w:r>
              <w:rPr>
                <w:rFonts w:hint="eastAsia" w:ascii="宋体" w:hAnsi="宋体" w:eastAsia="宋体" w:cs="宋体"/>
                <w:b/>
                <w:i w:val="0"/>
                <w:color w:val="000000"/>
                <w:sz w:val="16"/>
                <w:szCs w:val="16"/>
                <w:u w:val="none"/>
                <w:lang w:val="en-US" w:eastAsia="zh-CN"/>
              </w:rPr>
              <w:t>0.19</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tabs>
                <w:tab w:val="left" w:pos="406"/>
              </w:tabs>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ab/>
            </w:r>
            <w:r>
              <w:rPr>
                <w:rFonts w:hint="eastAsia" w:ascii="宋体" w:hAnsi="宋体" w:eastAsia="宋体" w:cs="宋体"/>
                <w:i w:val="0"/>
                <w:color w:val="000000"/>
                <w:sz w:val="16"/>
                <w:szCs w:val="16"/>
                <w:u w:val="none"/>
                <w:lang w:val="en-US" w:eastAsia="zh-CN"/>
              </w:rPr>
              <w:t>0.19</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80"/>
                <w:tab w:val="right" w:pos="1401"/>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tabs>
                <w:tab w:val="left" w:pos="579"/>
                <w:tab w:val="right" w:pos="1402"/>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62"/>
                <w:tab w:val="right" w:pos="142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10"/>
                <w:tab w:val="right" w:pos="142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10"/>
                <w:tab w:val="right" w:pos="142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615"/>
                <w:tab w:val="right" w:pos="143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w:t>
            </w:r>
            <w:r>
              <w:rPr>
                <w:rFonts w:hint="eastAsia" w:ascii="宋体" w:hAnsi="宋体" w:eastAsia="宋体" w:cs="宋体"/>
                <w:b/>
                <w:color w:val="FF0000"/>
                <w:kern w:val="0"/>
                <w:sz w:val="20"/>
                <w:szCs w:val="20"/>
                <w:lang w:eastAsia="zh-CN"/>
              </w:rPr>
              <w:t>县直工委</w:t>
            </w:r>
            <w:r>
              <w:rPr>
                <w:rFonts w:hint="eastAsia" w:ascii="宋体" w:hAnsi="宋体" w:eastAsia="宋体" w:cs="宋体"/>
                <w:b/>
                <w:color w:val="FF0000"/>
                <w:kern w:val="0"/>
                <w:sz w:val="20"/>
                <w:szCs w:val="20"/>
              </w:rPr>
              <w:t>没有政府性基金收入，也没有使用政府性基金安排的支出，故本表无数据。</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县直机关工委</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jc w:val="both"/>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61.88</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万元，与2015年相比，收、支总计各</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4.24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2.64万元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分别</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58.22</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58.22</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图2：收入决算</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图3：支出决算</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jc w:val="center"/>
        <w:rPr>
          <w:rFonts w:ascii="宋体" w:hAnsi="宋体" w:eastAsia="宋体" w:cs="宋体"/>
          <w:sz w:val="24"/>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2016年财政拨款收</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支总决算</w:t>
      </w:r>
      <w:r>
        <w:rPr>
          <w:rFonts w:hint="eastAsia" w:ascii="仿宋_GB2312" w:hAnsi="宋体" w:eastAsia="仿宋_GB2312" w:cs="Courier New"/>
          <w:sz w:val="32"/>
          <w:szCs w:val="32"/>
          <w:lang w:val="en-US" w:eastAsia="zh-CN"/>
        </w:rPr>
        <w:t>58.22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59.82万元</w:t>
      </w:r>
      <w:r>
        <w:rPr>
          <w:rFonts w:hint="eastAsia" w:ascii="仿宋_GB2312" w:hAnsi="宋体" w:eastAsia="仿宋_GB2312" w:cs="Courier New"/>
          <w:sz w:val="32"/>
          <w:szCs w:val="32"/>
        </w:rPr>
        <w:t>。与2015年相比，财政拨款收</w:t>
      </w:r>
      <w:r>
        <w:rPr>
          <w:rFonts w:hint="eastAsia" w:ascii="仿宋_GB2312" w:hAnsi="宋体" w:eastAsia="仿宋_GB2312" w:cs="Courier New"/>
          <w:sz w:val="32"/>
          <w:szCs w:val="32"/>
          <w:lang w:eastAsia="zh-CN"/>
        </w:rPr>
        <w:t>入增加</w:t>
      </w:r>
      <w:r>
        <w:rPr>
          <w:rFonts w:hint="eastAsia" w:ascii="仿宋_GB2312" w:hAnsi="宋体" w:eastAsia="仿宋_GB2312" w:cs="Courier New"/>
          <w:sz w:val="32"/>
          <w:szCs w:val="32"/>
          <w:lang w:val="en-US" w:eastAsia="zh-CN"/>
        </w:rPr>
        <w:t>8.95</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，增长</w:t>
      </w:r>
      <w:r>
        <w:rPr>
          <w:rFonts w:hint="eastAsia" w:ascii="仿宋_GB2312" w:hAnsi="宋体" w:eastAsia="仿宋_GB2312" w:cs="Courier New"/>
          <w:sz w:val="32"/>
          <w:szCs w:val="32"/>
          <w:lang w:val="en-US" w:eastAsia="zh-CN"/>
        </w:rPr>
        <w:t>18%，因人员工资调整标准等所以增加较多；</w:t>
      </w:r>
      <w:r>
        <w:rPr>
          <w:rFonts w:hint="eastAsia" w:ascii="仿宋_GB2312" w:hAnsi="宋体" w:eastAsia="仿宋_GB2312" w:cs="Courier New"/>
          <w:sz w:val="32"/>
          <w:szCs w:val="32"/>
        </w:rPr>
        <w:t>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val="en-US" w:eastAsia="zh-CN"/>
        </w:rPr>
        <w:t>2.64万元</w:t>
      </w:r>
      <w:r>
        <w:rPr>
          <w:rFonts w:hint="eastAsia" w:ascii="仿宋_GB2312" w:hAnsi="宋体" w:eastAsia="仿宋_GB2312" w:cs="Courier New"/>
          <w:sz w:val="32"/>
          <w:szCs w:val="32"/>
        </w:rPr>
        <w:t>，下降</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w:t>
      </w:r>
      <w:r>
        <w:rPr>
          <w:rFonts w:hint="eastAsia" w:ascii="宋体" w:hAnsi="宋体" w:eastAsia="宋体" w:cs="宋体"/>
          <w:sz w:val="24"/>
        </w:rPr>
        <w:t>图4：财政拨款收、支决算总计变动情况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%。与2015年相比，一般公共预算财政拨款支出减少</w:t>
      </w:r>
      <w:r>
        <w:rPr>
          <w:rFonts w:hint="eastAsia" w:ascii="仿宋_GB2312" w:hAnsi="宋体" w:eastAsia="仿宋_GB2312" w:cs="Courier New"/>
          <w:sz w:val="32"/>
          <w:szCs w:val="32"/>
          <w:lang w:val="en-US" w:eastAsia="zh-CN"/>
        </w:rPr>
        <w:t>2.64</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33.31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55</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26.51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45</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56.22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106</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人员工资调整标准</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rPr>
        <w:t>其中：</w:t>
      </w:r>
      <w:r>
        <w:rPr>
          <w:rFonts w:hint="eastAsia" w:ascii="仿宋_GB2312" w:hAnsi="宋体" w:eastAsia="仿宋_GB2312" w:cs="Courier New"/>
          <w:sz w:val="32"/>
          <w:szCs w:val="32"/>
          <w:lang w:val="en-US" w:eastAsia="zh-CN"/>
        </w:rPr>
        <w:t>1、</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56.22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106</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人员工资调整标准</w:t>
      </w:r>
      <w:r>
        <w:rPr>
          <w:rFonts w:hint="eastAsia" w:ascii="仿宋_GB2312" w:hAnsi="宋体" w:eastAsia="仿宋_GB2312" w:cs="Courier New"/>
          <w:sz w:val="32"/>
          <w:szCs w:val="32"/>
        </w:rPr>
        <w:t>。</w:t>
      </w:r>
    </w:p>
    <w:p>
      <w:pPr>
        <w:numPr>
          <w:numId w:val="0"/>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%。决算数大于（小于）预算数的主要原因是……。</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numPr>
          <w:numId w:val="0"/>
        </w:numPr>
        <w:adjustRightInd w:val="0"/>
        <w:snapToGrid w:val="0"/>
        <w:spacing w:line="360" w:lineRule="auto"/>
        <w:ind w:firstLine="640" w:firstLineChars="200"/>
        <w:outlineLvl w:val="1"/>
        <w:rPr>
          <w:rFonts w:hint="eastAsia"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59.82</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46.46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退休费等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13.36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、印刷费、邮电费、劳务费、培训费等</w:t>
      </w:r>
      <w:r>
        <w:rPr>
          <w:rFonts w:hint="eastAsia" w:ascii="仿宋_GB2312" w:hAnsi="宋体" w:eastAsia="仿宋_GB2312" w:cs="Courier New"/>
          <w:sz w:val="32"/>
          <w:szCs w:val="32"/>
        </w:rPr>
        <w:t>。</w:t>
      </w:r>
    </w:p>
    <w:p>
      <w:pPr>
        <w:numPr>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1.05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0.19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18.1</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0.19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18.1</w:t>
      </w:r>
      <w:r>
        <w:rPr>
          <w:rFonts w:hint="eastAsia" w:ascii="仿宋_GB2312" w:hAnsi="宋体" w:eastAsia="仿宋_GB2312" w:cs="Courier New"/>
          <w:sz w:val="32"/>
          <w:szCs w:val="32"/>
        </w:rPr>
        <w:t>%。2016年度“三公”经费支出决算数小于预算数的主要原因是</w:t>
      </w:r>
      <w:r>
        <w:rPr>
          <w:rFonts w:hint="eastAsia" w:ascii="仿宋_GB2312" w:hAnsi="宋体" w:eastAsia="仿宋_GB2312" w:cs="Courier New"/>
          <w:sz w:val="32"/>
          <w:szCs w:val="32"/>
          <w:lang w:val="en-US" w:eastAsia="zh-CN"/>
        </w:rPr>
        <w:t>2016年度</w:t>
      </w:r>
      <w:r>
        <w:rPr>
          <w:rFonts w:hint="eastAsia" w:ascii="仿宋_GB2312" w:hAnsi="宋体" w:eastAsia="仿宋_GB2312" w:cs="Courier New"/>
          <w:sz w:val="32"/>
          <w:szCs w:val="32"/>
          <w:lang w:eastAsia="zh-CN"/>
        </w:rPr>
        <w:t>公务接待批次减少，发生此类支出较少</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w:t>
      </w:r>
      <w:r>
        <w:rPr>
          <w:rFonts w:hint="eastAsia" w:ascii="仿宋_GB2312" w:hAnsi="宋体" w:eastAsia="仿宋_GB2312" w:cs="Courier New"/>
          <w:sz w:val="32"/>
          <w:szCs w:val="32"/>
          <w:lang w:val="en-US" w:eastAsia="zh-CN"/>
        </w:rPr>
        <w:t>0.83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81</w:t>
      </w:r>
      <w:r>
        <w:rPr>
          <w:rFonts w:hint="eastAsia" w:ascii="仿宋_GB2312" w:hAnsi="宋体" w:eastAsia="仿宋_GB2312" w:cs="Courier New"/>
          <w:sz w:val="32"/>
          <w:szCs w:val="32"/>
        </w:rPr>
        <w:t>%，其中：因公出国（境）费支出决算增加（减少）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%；公务用车购置及运行费支出决算增加（减少）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万元，增长（下降）</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0.83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81</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w:t>
      </w:r>
      <w:r>
        <w:rPr>
          <w:rFonts w:hint="eastAsia" w:ascii="仿宋_GB2312" w:hAnsi="宋体" w:eastAsia="仿宋_GB2312" w:cs="Courier New"/>
          <w:sz w:val="32"/>
          <w:szCs w:val="32"/>
        </w:rPr>
        <w:t>减少的主要原因是</w:t>
      </w:r>
      <w:r>
        <w:rPr>
          <w:rFonts w:hint="eastAsia" w:ascii="仿宋_GB2312" w:hAnsi="宋体" w:eastAsia="仿宋_GB2312" w:cs="Courier New"/>
          <w:sz w:val="32"/>
          <w:szCs w:val="32"/>
          <w:lang w:val="en-US" w:eastAsia="zh-CN"/>
        </w:rPr>
        <w:t>2016年度</w:t>
      </w:r>
      <w:r>
        <w:rPr>
          <w:rFonts w:hint="eastAsia" w:ascii="仿宋_GB2312" w:hAnsi="宋体" w:eastAsia="仿宋_GB2312" w:cs="Courier New"/>
          <w:sz w:val="32"/>
          <w:szCs w:val="32"/>
          <w:lang w:eastAsia="zh-CN"/>
        </w:rPr>
        <w:t>公务接待批次减少，发生此类支出较少</w:t>
      </w:r>
      <w:r>
        <w:rPr>
          <w:rFonts w:hint="eastAsia" w:ascii="仿宋_GB2312" w:hAnsi="宋体" w:eastAsia="仿宋_GB2312"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0.19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图7：“三公”经费财政拨款支出结构</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w:t>
      </w: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016年期末，</w:t>
      </w:r>
      <w:r>
        <w:rPr>
          <w:rFonts w:hint="eastAsia" w:ascii="仿宋_GB2312" w:hAnsi="宋体" w:eastAsia="仿宋_GB2312" w:cs="Courier New"/>
          <w:sz w:val="32"/>
          <w:szCs w:val="32"/>
          <w:lang w:eastAsia="zh-CN"/>
        </w:rPr>
        <w:t>县直工委</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量。</w:t>
      </w:r>
    </w:p>
    <w:p>
      <w:pPr>
        <w:numPr>
          <w:ilvl w:val="0"/>
          <w:numId w:val="7"/>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0.19</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eastAsia="zh-CN"/>
        </w:rPr>
        <w:t>公务接待</w:t>
      </w:r>
      <w:r>
        <w:rPr>
          <w:rFonts w:hint="eastAsia" w:ascii="仿宋_GB2312" w:hAnsi="宋体" w:eastAsia="仿宋_GB2312" w:cs="Courier New"/>
          <w:b w:val="0"/>
          <w:bCs w:val="0"/>
          <w:sz w:val="32"/>
          <w:szCs w:val="32"/>
        </w:rPr>
        <w:t>。</w:t>
      </w:r>
      <w:r>
        <w:rPr>
          <w:rFonts w:hint="eastAsia" w:ascii="仿宋_GB2312" w:hAnsi="宋体" w:eastAsia="仿宋_GB2312" w:cs="Courier New"/>
          <w:b w:val="0"/>
          <w:bCs w:val="0"/>
          <w:sz w:val="32"/>
          <w:szCs w:val="32"/>
          <w:lang w:eastAsia="zh-CN"/>
        </w:rPr>
        <w:t>县直工委</w:t>
      </w:r>
      <w:r>
        <w:rPr>
          <w:rFonts w:hint="eastAsia" w:ascii="仿宋_GB2312" w:hAnsi="宋体" w:eastAsia="仿宋_GB2312" w:cs="Courier New"/>
          <w:b w:val="0"/>
          <w:bCs w:val="0"/>
          <w:sz w:val="32"/>
          <w:szCs w:val="32"/>
        </w:rPr>
        <w:t>2016年度共接待国内来访团组</w:t>
      </w:r>
      <w:r>
        <w:rPr>
          <w:rFonts w:hint="eastAsia" w:ascii="仿宋_GB2312" w:hAnsi="宋体" w:eastAsia="仿宋_GB2312" w:cs="Courier New"/>
          <w:b w:val="0"/>
          <w:bCs w:val="0"/>
          <w:sz w:val="32"/>
          <w:szCs w:val="32"/>
          <w:lang w:val="en-US" w:eastAsia="zh-CN"/>
        </w:rPr>
        <w:t>8</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52</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numPr>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关于预算绩效情况说明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根据财政预算管理要求，对2016年度一般公共预算项目支出全面开展绩效自评。其中，一级项目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个，二级项目</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万元，自评覆盖率达到</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numId w:val="0"/>
        </w:numPr>
        <w:adjustRightInd w:val="0"/>
        <w:snapToGrid w:val="0"/>
        <w:spacing w:line="360" w:lineRule="auto"/>
        <w:ind w:leftChars="200" w:firstLine="320" w:firstLineChars="100"/>
        <w:outlineLvl w:val="1"/>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13.36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2015年度为14.13万元，减少0.77万元</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县直工委</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辆，其他用车主要是……；单价50万元以上通用设备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Lucida Console"/>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Lucida Console"/>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Lucida Console"/>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Trebuchet MS"/>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PMingLiU"/>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Lucida Console"/>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Lucida Console"/>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Lucida Console"/>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Lucida Console"/>
    <w:panose1 w:val="02010609000101010101"/>
    <w:charset w:val="00"/>
    <w:family w:val="auto"/>
    <w:pitch w:val="default"/>
    <w:sig w:usb0="00000000" w:usb1="00000000" w:usb2="00000000" w:usb3="00000000" w:csb0="00040001" w:csb1="00000000"/>
  </w:font>
  <w:font w:name="文星简大标宋">
    <w:altName w:val="宋体"/>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Lucida Console"/>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Lucida Console"/>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Sylfaen">
    <w:panose1 w:val="010A0502050306030303"/>
    <w:charset w:val="00"/>
    <w:family w:val="auto"/>
    <w:pitch w:val="default"/>
    <w:sig w:usb0="04000687" w:usb1="00000000" w:usb2="00000000" w:usb3="00000000" w:csb0="2000009F" w:csb1="00000000"/>
  </w:font>
  <w:font w:name="Marigold">
    <w:altName w:val="Mongolian Baiti"/>
    <w:panose1 w:val="03020702040402020504"/>
    <w:charset w:val="00"/>
    <w:family w:val="auto"/>
    <w:pitch w:val="default"/>
    <w:sig w:usb0="00000000" w:usb1="00000000" w:usb2="00000000" w:usb3="00000000" w:csb0="20000093"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chineseCounting"/>
      <w:suff w:val="nothing"/>
      <w:lvlText w:val="（%1）"/>
      <w:lvlJc w:val="left"/>
      <w:pPr>
        <w:ind w:left="0" w:firstLine="420"/>
      </w:pPr>
      <w:rPr>
        <w:rFonts w:hint="eastAsia"/>
      </w:rPr>
    </w:lvl>
  </w:abstractNum>
  <w:abstractNum w:abstractNumId="6">
    <w:nsid w:val="00000006"/>
    <w:multiLevelType w:val="singleLevel"/>
    <w:tmpl w:val="00000006"/>
    <w:lvl w:ilvl="0" w:tentative="1">
      <w:start w:val="2"/>
      <w:numFmt w:val="chineseCounting"/>
      <w:suff w:val="nothing"/>
      <w:lvlText w:val="%1、"/>
      <w:lvlJc w:val="left"/>
    </w:lvl>
  </w:abstractNum>
  <w:abstractNum w:abstractNumId="9">
    <w:nsid w:val="00000009"/>
    <w:multiLevelType w:val="singleLevel"/>
    <w:tmpl w:val="00000009"/>
    <w:lvl w:ilvl="0" w:tentative="1">
      <w:start w:val="1"/>
      <w:numFmt w:val="chineseCounting"/>
      <w:suff w:val="nothing"/>
      <w:lvlText w:val="%1、"/>
      <w:lvlJc w:val="left"/>
      <w:pPr>
        <w:ind w:left="0" w:firstLine="420"/>
      </w:pPr>
      <w:rPr>
        <w:rFonts w:hint="eastAsia"/>
      </w:rPr>
    </w:lvl>
  </w:abstractNum>
  <w:abstractNum w:abstractNumId="10">
    <w:nsid w:val="0000000A"/>
    <w:multiLevelType w:val="singleLevel"/>
    <w:tmpl w:val="0000000A"/>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1"/>
      <w:numFmt w:val="decimal"/>
      <w:suff w:val="nothing"/>
      <w:lvlText w:val="%1．"/>
      <w:lvlJc w:val="left"/>
      <w:pPr>
        <w:ind w:left="0" w:firstLine="400"/>
      </w:pPr>
      <w:rPr>
        <w:rFonts w:hint="default"/>
      </w:rPr>
    </w:lvl>
  </w:abstractNum>
  <w:abstractNum w:abstractNumId="12">
    <w:nsid w:val="0000000C"/>
    <w:multiLevelType w:val="singleLevel"/>
    <w:tmpl w:val="0000000C"/>
    <w:lvl w:ilvl="0" w:tentative="1">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1">
      <w:start w:val="1"/>
      <w:numFmt w:val="chineseCounting"/>
      <w:suff w:val="nothing"/>
      <w:lvlText w:val="%1、"/>
      <w:lvlJc w:val="left"/>
    </w:lvl>
  </w:abstractNum>
  <w:abstractNum w:abstractNumId="17">
    <w:nsid w:val="00000011"/>
    <w:multiLevelType w:val="singleLevel"/>
    <w:tmpl w:val="00000011"/>
    <w:lvl w:ilvl="0" w:tentative="1">
      <w:start w:val="1"/>
      <w:numFmt w:val="chineseCounting"/>
      <w:suff w:val="nothing"/>
      <w:lvlText w:val="（%1）"/>
      <w:lvlJc w:val="left"/>
      <w:pPr>
        <w:ind w:left="0" w:firstLine="420"/>
      </w:pPr>
      <w:rPr>
        <w:rFonts w:hint="eastAsia"/>
      </w:rPr>
    </w:lvl>
  </w:abstractNum>
  <w:num w:numId="1">
    <w:abstractNumId w:val="16"/>
  </w:num>
  <w:num w:numId="2">
    <w:abstractNumId w:val="12"/>
  </w:num>
  <w:num w:numId="3">
    <w:abstractNumId w:val="6"/>
  </w:num>
  <w:num w:numId="4">
    <w:abstractNumId w:val="9"/>
  </w:num>
  <w:num w:numId="5">
    <w:abstractNumId w:val="10"/>
  </w:num>
  <w:num w:numId="6">
    <w:abstractNumId w:val="17"/>
  </w:num>
  <w:num w:numId="7">
    <w:abstractNumId w:val="1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nt31"/>
    <w:basedOn w:val="4"/>
    <w:rPr>
      <w:rFonts w:ascii="Arial" w:hAnsi="Arial" w:cs="Arial"/>
      <w:color w:val="000000"/>
      <w:sz w:val="16"/>
      <w:szCs w:val="16"/>
      <w:u w:val="none"/>
    </w:rPr>
  </w:style>
  <w:style w:type="character" w:customStyle="1" w:styleId="6">
    <w:name w:val="font01"/>
    <w:basedOn w:val="4"/>
    <w:rPr>
      <w:rFonts w:hint="default" w:ascii="Arial" w:hAnsi="Arial" w:cs="Arial"/>
      <w:color w:val="000000"/>
      <w:sz w:val="16"/>
      <w:szCs w:val="16"/>
      <w:u w:val="none"/>
    </w:rPr>
  </w:style>
  <w:style w:type="character" w:customStyle="1" w:styleId="7">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wsj</dc:creator>
  <cp:lastPrinted>2017-07-25T10:47:00Z</cp:lastPrinted>
  <dcterms:modified xsi:type="dcterms:W3CDTF">2017-11-17T10:41:53Z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