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郏县审计局</w:t>
      </w:r>
    </w:p>
    <w:p>
      <w:pPr>
        <w:jc w:val="center"/>
        <w:rPr>
          <w:rFonts w:ascii="黑体" w:hAnsi="黑体" w:eastAsia="黑体"/>
          <w:sz w:val="52"/>
          <w:szCs w:val="52"/>
        </w:rPr>
      </w:pPr>
    </w:p>
    <w:p>
      <w:pPr>
        <w:jc w:val="center"/>
        <w:sectPr>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52"/>
          <w:szCs w:val="52"/>
        </w:rPr>
        <w:t>2016年度部门决算</w:t>
      </w:r>
    </w:p>
    <w:p>
      <w:pPr>
        <w:jc w:val="center"/>
        <w:rPr>
          <w:rFonts w:ascii="黑体" w:hAnsi="黑体" w:eastAsia="黑体"/>
          <w:sz w:val="36"/>
          <w:szCs w:val="36"/>
        </w:rPr>
      </w:pPr>
      <w:r>
        <w:rPr>
          <w:rFonts w:hint="eastAsia" w:ascii="黑体" w:hAnsi="黑体" w:eastAsia="黑体"/>
          <w:sz w:val="36"/>
          <w:szCs w:val="36"/>
        </w:rPr>
        <w:t>目　　录</w:t>
      </w:r>
    </w:p>
    <w:p>
      <w:pPr>
        <w:jc w:val="left"/>
        <w:rPr>
          <w:rFonts w:ascii="黑体" w:hAnsi="黑体" w:eastAsia="黑体"/>
          <w:sz w:val="32"/>
          <w:szCs w:val="32"/>
        </w:rPr>
      </w:pPr>
      <w:r>
        <w:rPr>
          <w:rFonts w:hint="eastAsia" w:ascii="黑体" w:hAnsi="黑体" w:eastAsia="黑体"/>
          <w:sz w:val="32"/>
          <w:szCs w:val="32"/>
        </w:rPr>
        <w:t>第一部分　　郏县审计局概况</w:t>
      </w:r>
    </w:p>
    <w:p>
      <w:pPr>
        <w:numPr>
          <w:ilvl w:val="0"/>
          <w:numId w:val="1"/>
        </w:numPr>
        <w:jc w:val="left"/>
        <w:rPr>
          <w:rFonts w:ascii="宋体" w:hAnsi="宋体" w:cs="宋体"/>
          <w:sz w:val="32"/>
          <w:szCs w:val="32"/>
        </w:rPr>
      </w:pPr>
      <w:r>
        <w:rPr>
          <w:rFonts w:hint="eastAsia" w:ascii="宋体" w:hAnsi="宋体" w:cs="宋体"/>
          <w:sz w:val="32"/>
          <w:szCs w:val="32"/>
        </w:rPr>
        <w:t>主要职责</w:t>
      </w:r>
    </w:p>
    <w:p>
      <w:pPr>
        <w:numPr>
          <w:ilvl w:val="0"/>
          <w:numId w:val="1"/>
        </w:numPr>
        <w:jc w:val="left"/>
        <w:rPr>
          <w:rFonts w:ascii="宋体" w:hAnsi="宋体" w:cs="宋体"/>
          <w:sz w:val="32"/>
          <w:szCs w:val="32"/>
        </w:rPr>
      </w:pPr>
      <w:r>
        <w:rPr>
          <w:rFonts w:hint="eastAsia" w:ascii="宋体" w:hAnsi="宋体" w:cs="宋体"/>
          <w:sz w:val="32"/>
          <w:szCs w:val="32"/>
        </w:rPr>
        <w:t>部门决算单位构成</w:t>
      </w:r>
    </w:p>
    <w:p>
      <w:pPr>
        <w:jc w:val="left"/>
        <w:rPr>
          <w:rFonts w:ascii="黑体" w:hAnsi="黑体" w:eastAsia="黑体"/>
          <w:sz w:val="32"/>
          <w:szCs w:val="32"/>
        </w:rPr>
      </w:pPr>
      <w:r>
        <w:rPr>
          <w:rFonts w:hint="eastAsia" w:ascii="黑体" w:hAnsi="黑体" w:eastAsia="黑体"/>
          <w:sz w:val="32"/>
          <w:szCs w:val="32"/>
        </w:rPr>
        <w:t>第二部分　　郏县审计局2016年度部门决算表</w:t>
      </w:r>
    </w:p>
    <w:p>
      <w:pPr>
        <w:jc w:val="left"/>
        <w:rPr>
          <w:rFonts w:ascii="宋体" w:hAnsi="宋体" w:cs="宋体"/>
          <w:sz w:val="32"/>
          <w:szCs w:val="32"/>
        </w:rPr>
      </w:pPr>
      <w:r>
        <w:rPr>
          <w:rFonts w:hint="eastAsia" w:ascii="宋体" w:hAnsi="宋体" w:cs="宋体"/>
          <w:sz w:val="32"/>
          <w:szCs w:val="32"/>
        </w:rPr>
        <w:t>一、收入支出决算总表</w:t>
      </w:r>
    </w:p>
    <w:p>
      <w:pPr>
        <w:jc w:val="left"/>
        <w:rPr>
          <w:rFonts w:ascii="宋体" w:hAnsi="宋体" w:cs="宋体"/>
          <w:sz w:val="32"/>
          <w:szCs w:val="32"/>
        </w:rPr>
      </w:pPr>
      <w:r>
        <w:rPr>
          <w:rFonts w:hint="eastAsia" w:ascii="宋体" w:hAnsi="宋体" w:cs="宋体"/>
          <w:sz w:val="32"/>
          <w:szCs w:val="32"/>
        </w:rPr>
        <w:t>二、收入决算表</w:t>
      </w:r>
    </w:p>
    <w:p>
      <w:pPr>
        <w:jc w:val="left"/>
        <w:rPr>
          <w:rFonts w:ascii="宋体" w:hAnsi="宋体" w:cs="宋体"/>
          <w:sz w:val="32"/>
          <w:szCs w:val="32"/>
        </w:rPr>
      </w:pPr>
      <w:r>
        <w:rPr>
          <w:rFonts w:hint="eastAsia" w:ascii="宋体" w:hAnsi="宋体" w:cs="宋体"/>
          <w:sz w:val="32"/>
          <w:szCs w:val="32"/>
        </w:rPr>
        <w:t>三、支出决算表</w:t>
      </w:r>
    </w:p>
    <w:p>
      <w:pPr>
        <w:jc w:val="left"/>
        <w:rPr>
          <w:rFonts w:ascii="宋体" w:hAnsi="宋体" w:cs="宋体"/>
          <w:sz w:val="32"/>
          <w:szCs w:val="32"/>
        </w:rPr>
      </w:pPr>
      <w:r>
        <w:rPr>
          <w:rFonts w:hint="eastAsia" w:ascii="宋体" w:hAnsi="宋体" w:cs="宋体"/>
          <w:sz w:val="32"/>
          <w:szCs w:val="32"/>
        </w:rPr>
        <w:t>四、财政拨款收入支出决算总表</w:t>
      </w:r>
    </w:p>
    <w:p>
      <w:pPr>
        <w:jc w:val="left"/>
        <w:rPr>
          <w:rFonts w:ascii="宋体" w:hAnsi="宋体" w:cs="宋体"/>
          <w:sz w:val="32"/>
          <w:szCs w:val="32"/>
        </w:rPr>
      </w:pPr>
      <w:r>
        <w:rPr>
          <w:rFonts w:hint="eastAsia" w:ascii="宋体" w:hAnsi="宋体" w:cs="宋体"/>
          <w:sz w:val="32"/>
          <w:szCs w:val="32"/>
        </w:rPr>
        <w:t>五、一般公共预算财政拨款支出决算表</w:t>
      </w:r>
    </w:p>
    <w:p>
      <w:pPr>
        <w:jc w:val="left"/>
        <w:rPr>
          <w:rFonts w:ascii="宋体" w:hAnsi="宋体" w:cs="宋体"/>
          <w:sz w:val="32"/>
          <w:szCs w:val="32"/>
        </w:rPr>
      </w:pPr>
      <w:r>
        <w:rPr>
          <w:rFonts w:hint="eastAsia" w:ascii="宋体" w:hAnsi="宋体" w:cs="宋体"/>
          <w:sz w:val="32"/>
          <w:szCs w:val="32"/>
        </w:rPr>
        <w:t>六、一般公共预算财政拨款基本支出决算表</w:t>
      </w:r>
    </w:p>
    <w:p>
      <w:pPr>
        <w:jc w:val="left"/>
        <w:rPr>
          <w:rFonts w:ascii="宋体" w:hAnsi="宋体" w:cs="宋体"/>
          <w:sz w:val="32"/>
          <w:szCs w:val="32"/>
        </w:rPr>
      </w:pPr>
      <w:r>
        <w:rPr>
          <w:rFonts w:hint="eastAsia" w:ascii="宋体" w:hAnsi="宋体" w:cs="宋体"/>
          <w:sz w:val="32"/>
          <w:szCs w:val="32"/>
        </w:rPr>
        <w:t>七、一般公共预算财政拨款“三公”经费支出决算表</w:t>
      </w:r>
    </w:p>
    <w:p>
      <w:pPr>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sz w:val="32"/>
          <w:szCs w:val="32"/>
        </w:rPr>
      </w:pPr>
      <w:r>
        <w:rPr>
          <w:rFonts w:hint="eastAsia" w:ascii="黑体" w:hAnsi="黑体" w:eastAsia="黑体"/>
          <w:sz w:val="32"/>
          <w:szCs w:val="32"/>
        </w:rPr>
        <w:t>第三部分　　郏县审计局2016年度部门决算情况说明</w:t>
      </w:r>
    </w:p>
    <w:p>
      <w:pPr>
        <w:jc w:val="left"/>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sz w:val="32"/>
          <w:szCs w:val="32"/>
        </w:rPr>
        <w:t>第四部分　　名词解释</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sectPr>
          <w:footerReference r:id="rId5" w:type="default"/>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48"/>
          <w:szCs w:val="48"/>
        </w:rPr>
        <w:t>第一部分　　郏县审计局概况</w:t>
      </w:r>
    </w:p>
    <w:p>
      <w:pPr>
        <w:numPr>
          <w:ilvl w:val="0"/>
          <w:numId w:val="2"/>
        </w:numPr>
        <w:spacing w:line="360" w:lineRule="auto"/>
        <w:ind w:firstLine="640" w:firstLineChars="200"/>
        <w:jc w:val="left"/>
        <w:outlineLvl w:val="1"/>
        <w:rPr>
          <w:rFonts w:ascii="黑体" w:hAnsi="黑体" w:eastAsia="黑体"/>
          <w:sz w:val="32"/>
          <w:szCs w:val="32"/>
        </w:rPr>
      </w:pPr>
      <w:r>
        <w:rPr>
          <w:rFonts w:hint="eastAsia" w:ascii="黑体" w:hAnsi="黑体" w:eastAsia="黑体"/>
          <w:sz w:val="32"/>
          <w:szCs w:val="32"/>
        </w:rPr>
        <w:t>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郏县审计局为县政府组成部门，局本级内设9个职能股室，所属事业单位2个，分别为经济责任审计局、基建投资中心。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对全县财政收支和法律、法规规定属于审计监督范围的财务收支和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起草全县审计、财经方面的规章草案，制订审计规章制度并监督执行，制订并组织实施审计工作发展规划和专业领域审计工作规划，制定并组织实施年度审计计划。对直接审计、调查和核查的事项依法进行审计评价，作出审计决定或提出审计建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（三）承办县政府交办的其他事项。</w:t>
      </w:r>
    </w:p>
    <w:p>
      <w:pPr>
        <w:numPr>
          <w:ilvl w:val="0"/>
          <w:numId w:val="3"/>
        </w:numPr>
        <w:spacing w:line="360" w:lineRule="auto"/>
        <w:ind w:firstLine="640" w:firstLineChars="200"/>
        <w:jc w:val="left"/>
        <w:outlineLvl w:val="1"/>
        <w:rPr>
          <w:rFonts w:ascii="黑体" w:hAnsi="黑体" w:eastAsia="黑体"/>
          <w:sz w:val="32"/>
          <w:szCs w:val="32"/>
        </w:rPr>
      </w:pPr>
      <w:r>
        <w:rPr>
          <w:rFonts w:hint="eastAsia" w:ascii="黑体" w:hAnsi="黑体" w:eastAsia="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郏县审计局2016年度部门决算编制范围的单位包括：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郏县审计局本级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内设机构经济责任审计局和基建投资审计中心</w:t>
      </w:r>
    </w:p>
    <w:p>
      <w:pPr>
        <w:spacing w:line="360" w:lineRule="auto"/>
        <w:jc w:val="left"/>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郏县审计局2016年度部门决算表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72" w:type="dxa"/>
            <w:vAlign w:val="center"/>
          </w:tcPr>
          <w:p>
            <w:pPr>
              <w:rPr>
                <w:rFonts w:ascii="宋体" w:hAnsi="宋体" w:cs="宋体"/>
                <w:color w:val="000000"/>
                <w:sz w:val="16"/>
                <w:szCs w:val="16"/>
              </w:rPr>
            </w:pPr>
          </w:p>
        </w:tc>
        <w:tc>
          <w:tcPr>
            <w:tcW w:w="1316" w:type="dxa"/>
            <w:vAlign w:val="center"/>
          </w:tcPr>
          <w:p>
            <w:pPr>
              <w:rPr>
                <w:rFonts w:ascii="宋体" w:hAnsi="宋体" w:cs="宋体"/>
                <w:color w:val="000000"/>
                <w:sz w:val="16"/>
                <w:szCs w:val="16"/>
              </w:rPr>
            </w:pPr>
          </w:p>
        </w:tc>
        <w:tc>
          <w:tcPr>
            <w:tcW w:w="3144" w:type="dxa"/>
            <w:gridSpan w:val="3"/>
            <w:vAlign w:val="center"/>
          </w:tcPr>
          <w:p>
            <w:pPr>
              <w:rPr>
                <w:rFonts w:ascii="宋体" w:hAnsi="宋体" w:cs="宋体"/>
                <w:color w:val="000000"/>
                <w:sz w:val="16"/>
                <w:szCs w:val="16"/>
              </w:rPr>
            </w:pPr>
          </w:p>
        </w:tc>
        <w:tc>
          <w:tcPr>
            <w:tcW w:w="527" w:type="dxa"/>
            <w:vAlign w:val="center"/>
          </w:tcPr>
          <w:p>
            <w:pPr>
              <w:rPr>
                <w:rFonts w:ascii="宋体" w:hAnsi="宋体" w:cs="宋体"/>
                <w:color w:val="000000"/>
                <w:sz w:val="16"/>
                <w:szCs w:val="16"/>
              </w:rPr>
            </w:pPr>
          </w:p>
        </w:tc>
        <w:tc>
          <w:tcPr>
            <w:tcW w:w="1609"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公开01表</w:t>
            </w:r>
          </w:p>
        </w:tc>
      </w:tr>
      <w:tr>
        <w:trPr>
          <w:trHeight w:val="315" w:hRule="atLeast"/>
        </w:trPr>
        <w:tc>
          <w:tcPr>
            <w:tcW w:w="3282" w:type="dxa"/>
            <w:gridSpan w:val="3"/>
            <w:vAlign w:val="center"/>
          </w:tcPr>
          <w:p>
            <w:pPr>
              <w:rPr>
                <w:rFonts w:ascii="宋体" w:hAnsi="宋体" w:cs="宋体"/>
                <w:color w:val="000000"/>
                <w:sz w:val="16"/>
                <w:szCs w:val="16"/>
              </w:rPr>
            </w:pPr>
          </w:p>
        </w:tc>
        <w:tc>
          <w:tcPr>
            <w:tcW w:w="472" w:type="dxa"/>
            <w:vAlign w:val="center"/>
          </w:tcPr>
          <w:p>
            <w:pPr>
              <w:rPr>
                <w:rFonts w:ascii="宋体" w:hAnsi="宋体" w:cs="宋体"/>
                <w:color w:val="000000"/>
                <w:sz w:val="16"/>
                <w:szCs w:val="16"/>
              </w:rPr>
            </w:pPr>
          </w:p>
        </w:tc>
        <w:tc>
          <w:tcPr>
            <w:tcW w:w="1316" w:type="dxa"/>
            <w:vAlign w:val="center"/>
          </w:tcPr>
          <w:p>
            <w:pPr>
              <w:rPr>
                <w:rFonts w:ascii="宋体" w:hAnsi="宋体" w:cs="宋体"/>
                <w:color w:val="000000"/>
                <w:sz w:val="16"/>
                <w:szCs w:val="16"/>
              </w:rPr>
            </w:pPr>
          </w:p>
        </w:tc>
        <w:tc>
          <w:tcPr>
            <w:tcW w:w="3144" w:type="dxa"/>
            <w:gridSpan w:val="3"/>
            <w:vAlign w:val="center"/>
          </w:tcPr>
          <w:p>
            <w:pPr>
              <w:rPr>
                <w:rFonts w:ascii="宋体" w:hAnsi="宋体" w:cs="宋体"/>
                <w:color w:val="000000"/>
                <w:sz w:val="16"/>
                <w:szCs w:val="16"/>
              </w:rPr>
            </w:pPr>
          </w:p>
        </w:tc>
        <w:tc>
          <w:tcPr>
            <w:tcW w:w="527" w:type="dxa"/>
            <w:vAlign w:val="center"/>
          </w:tcPr>
          <w:p>
            <w:pPr>
              <w:rPr>
                <w:rFonts w:ascii="宋体" w:hAnsi="宋体" w:cs="宋体"/>
                <w:color w:val="000000"/>
                <w:sz w:val="16"/>
                <w:szCs w:val="16"/>
              </w:rPr>
            </w:pPr>
          </w:p>
        </w:tc>
        <w:tc>
          <w:tcPr>
            <w:tcW w:w="1609"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527.34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548.61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3.27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41.08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3.27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530.61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592.96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80.77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18.42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611.38</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611.38</w:t>
            </w:r>
          </w:p>
        </w:tc>
      </w:tr>
      <w:tr>
        <w:trPr>
          <w:trHeight w:val="555" w:hRule="atLeast"/>
        </w:trPr>
        <w:tc>
          <w:tcPr>
            <w:tcW w:w="10350" w:type="dxa"/>
            <w:gridSpan w:val="1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48"/>
        <w:gridCol w:w="1082"/>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收入决算表</w:t>
            </w:r>
          </w:p>
        </w:tc>
      </w:tr>
      <w:tr>
        <w:trPr>
          <w:trHeight w:val="285" w:hRule="atLeast"/>
        </w:trPr>
        <w:tc>
          <w:tcPr>
            <w:tcW w:w="1637" w:type="dxa"/>
            <w:gridSpan w:val="2"/>
            <w:vAlign w:val="center"/>
          </w:tcPr>
          <w:p>
            <w:pPr>
              <w:rPr>
                <w:rFonts w:ascii="宋体" w:hAnsi="宋体" w:cs="宋体"/>
                <w:color w:val="000000"/>
                <w:sz w:val="16"/>
                <w:szCs w:val="16"/>
              </w:rPr>
            </w:pPr>
          </w:p>
        </w:tc>
        <w:tc>
          <w:tcPr>
            <w:tcW w:w="1048" w:type="dxa"/>
            <w:vAlign w:val="center"/>
          </w:tcPr>
          <w:p>
            <w:pPr>
              <w:rPr>
                <w:rFonts w:ascii="宋体" w:hAnsi="宋体" w:cs="宋体"/>
                <w:color w:val="000000"/>
                <w:sz w:val="16"/>
                <w:szCs w:val="16"/>
              </w:rPr>
            </w:pPr>
          </w:p>
        </w:tc>
        <w:tc>
          <w:tcPr>
            <w:tcW w:w="1892"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公开02表</w:t>
            </w:r>
          </w:p>
        </w:tc>
      </w:tr>
      <w:tr>
        <w:trPr>
          <w:trHeight w:val="270" w:hRule="atLeast"/>
        </w:trPr>
        <w:tc>
          <w:tcPr>
            <w:tcW w:w="1637" w:type="dxa"/>
            <w:gridSpan w:val="2"/>
            <w:vAlign w:val="center"/>
          </w:tcPr>
          <w:p>
            <w:pPr>
              <w:rPr>
                <w:rFonts w:ascii="宋体" w:hAnsi="宋体" w:cs="宋体"/>
                <w:color w:val="000000"/>
                <w:sz w:val="16"/>
                <w:szCs w:val="16"/>
              </w:rPr>
            </w:pPr>
          </w:p>
        </w:tc>
        <w:tc>
          <w:tcPr>
            <w:tcW w:w="1048" w:type="dxa"/>
            <w:vAlign w:val="center"/>
          </w:tcPr>
          <w:p>
            <w:pPr>
              <w:rPr>
                <w:rFonts w:ascii="宋体" w:hAnsi="宋体" w:cs="宋体"/>
                <w:color w:val="000000"/>
                <w:sz w:val="16"/>
                <w:szCs w:val="16"/>
              </w:rPr>
            </w:pPr>
          </w:p>
        </w:tc>
        <w:tc>
          <w:tcPr>
            <w:tcW w:w="1892"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8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08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附属单位</w:t>
            </w:r>
            <w:r>
              <w:rPr>
                <w:rFonts w:hint="eastAsia" w:ascii="宋体" w:hAns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08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268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r>
      <w:tr>
        <w:trPr>
          <w:trHeight w:val="285" w:hRule="atLeast"/>
        </w:trPr>
        <w:tc>
          <w:tcPr>
            <w:tcW w:w="268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530.61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527.34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3.27</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一般公共服务支出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486.25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486.25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审计事务</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486.25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486.25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2010801</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行政运行</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106.10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106.10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2010802</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一般行政管理事务</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2010804</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审计业务</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265.04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265.04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2010806</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信息化建设</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2010850</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事业运行</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65.12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65.12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社会保障和就业支出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行政事业单位离退休</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2080501</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归口管理的行政单位离退休</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其他支出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22999</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其他支出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2299901</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其他支出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0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082"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支出决算表</w:t>
            </w:r>
          </w:p>
        </w:tc>
      </w:tr>
      <w:tr>
        <w:trPr>
          <w:trHeight w:val="315" w:hRule="atLeast"/>
        </w:trPr>
        <w:tc>
          <w:tcPr>
            <w:tcW w:w="1482" w:type="dxa"/>
            <w:gridSpan w:val="2"/>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042"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192"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公开03表</w:t>
            </w:r>
          </w:p>
        </w:tc>
      </w:tr>
      <w:tr>
        <w:trPr>
          <w:trHeight w:val="315" w:hRule="atLeast"/>
        </w:trPr>
        <w:tc>
          <w:tcPr>
            <w:tcW w:w="1482" w:type="dxa"/>
            <w:gridSpan w:val="2"/>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042"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192"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对附属单位</w:t>
            </w:r>
            <w:r>
              <w:rPr>
                <w:rFonts w:hint="eastAsia" w:ascii="宋体" w:hAns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592.96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460.21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132.75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0.00</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548.61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419.13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129.48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审计事务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548.61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419.13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129.48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105.34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105.34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审计业务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300.74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249.62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51.12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信息化建设</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48.36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48.36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64.17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64.17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2299901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1205"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docGrid w:type="lines" w:linePitch="318"/>
        </w:sectPr>
      </w:pP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
        <w:gridCol w:w="1201"/>
        <w:gridCol w:w="675"/>
        <w:gridCol w:w="269"/>
        <w:gridCol w:w="144"/>
        <w:gridCol w:w="261"/>
        <w:gridCol w:w="54"/>
        <w:gridCol w:w="1072"/>
        <w:gridCol w:w="344"/>
        <w:gridCol w:w="1432"/>
        <w:gridCol w:w="316"/>
        <w:gridCol w:w="157"/>
        <w:gridCol w:w="76"/>
        <w:gridCol w:w="104"/>
        <w:gridCol w:w="420"/>
        <w:gridCol w:w="242"/>
        <w:gridCol w:w="809"/>
        <w:gridCol w:w="190"/>
        <w:gridCol w:w="59"/>
        <w:gridCol w:w="349"/>
        <w:gridCol w:w="951"/>
        <w:gridCol w:w="1300"/>
      </w:tblGrid>
      <w:tr>
        <w:trPr>
          <w:gridBefore w:val="1"/>
          <w:wBefore w:w="15" w:type="dxa"/>
          <w:trHeight w:val="169" w:hRule="atLeast"/>
        </w:trPr>
        <w:tc>
          <w:tcPr>
            <w:tcW w:w="10425" w:type="dxa"/>
            <w:gridSpan w:val="21"/>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财政拨款收入支出决算表</w:t>
            </w:r>
          </w:p>
        </w:tc>
      </w:tr>
      <w:tr>
        <w:trPr>
          <w:gridBefore w:val="1"/>
          <w:wBefore w:w="15" w:type="dxa"/>
          <w:trHeight w:val="107" w:hRule="atLeast"/>
        </w:trPr>
        <w:tc>
          <w:tcPr>
            <w:tcW w:w="2289" w:type="dxa"/>
            <w:gridSpan w:val="4"/>
            <w:vAlign w:val="center"/>
          </w:tcPr>
          <w:p>
            <w:pPr>
              <w:rPr>
                <w:rFonts w:ascii="宋体" w:hAnsi="宋体" w:cs="宋体"/>
                <w:color w:val="000000"/>
                <w:sz w:val="16"/>
                <w:szCs w:val="16"/>
              </w:rPr>
            </w:pPr>
          </w:p>
        </w:tc>
        <w:tc>
          <w:tcPr>
            <w:tcW w:w="315" w:type="dxa"/>
            <w:gridSpan w:val="2"/>
            <w:vAlign w:val="center"/>
          </w:tcPr>
          <w:p>
            <w:pPr>
              <w:rPr>
                <w:rFonts w:ascii="宋体" w:hAnsi="宋体" w:cs="宋体"/>
                <w:color w:val="000000"/>
                <w:sz w:val="16"/>
                <w:szCs w:val="16"/>
              </w:rPr>
            </w:pPr>
          </w:p>
        </w:tc>
        <w:tc>
          <w:tcPr>
            <w:tcW w:w="1416" w:type="dxa"/>
            <w:gridSpan w:val="2"/>
            <w:vAlign w:val="center"/>
          </w:tcPr>
          <w:p>
            <w:pPr>
              <w:rPr>
                <w:rFonts w:ascii="宋体" w:hAnsi="宋体" w:cs="宋体"/>
                <w:color w:val="000000"/>
                <w:sz w:val="16"/>
                <w:szCs w:val="16"/>
              </w:rPr>
            </w:pPr>
          </w:p>
        </w:tc>
        <w:tc>
          <w:tcPr>
            <w:tcW w:w="1432" w:type="dxa"/>
            <w:vAlign w:val="center"/>
          </w:tcPr>
          <w:p>
            <w:pPr>
              <w:rPr>
                <w:rFonts w:ascii="宋体" w:hAnsi="宋体" w:cs="宋体"/>
                <w:color w:val="000000"/>
                <w:sz w:val="16"/>
                <w:szCs w:val="16"/>
              </w:rPr>
            </w:pPr>
          </w:p>
        </w:tc>
        <w:tc>
          <w:tcPr>
            <w:tcW w:w="316" w:type="dxa"/>
            <w:vAlign w:val="center"/>
          </w:tcPr>
          <w:p>
            <w:pPr>
              <w:rPr>
                <w:rFonts w:ascii="宋体" w:hAnsi="宋体" w:cs="宋体"/>
                <w:color w:val="000000"/>
                <w:sz w:val="16"/>
                <w:szCs w:val="16"/>
              </w:rPr>
            </w:pPr>
          </w:p>
        </w:tc>
        <w:tc>
          <w:tcPr>
            <w:tcW w:w="999" w:type="dxa"/>
            <w:gridSpan w:val="5"/>
            <w:vAlign w:val="center"/>
          </w:tcPr>
          <w:p>
            <w:pPr>
              <w:jc w:val="right"/>
              <w:rPr>
                <w:rFonts w:ascii="宋体" w:hAnsi="宋体" w:cs="宋体"/>
                <w:color w:val="000000"/>
                <w:sz w:val="16"/>
                <w:szCs w:val="16"/>
              </w:rPr>
            </w:pPr>
          </w:p>
        </w:tc>
        <w:tc>
          <w:tcPr>
            <w:tcW w:w="999" w:type="dxa"/>
            <w:gridSpan w:val="2"/>
            <w:vAlign w:val="center"/>
          </w:tcPr>
          <w:p>
            <w:pPr>
              <w:jc w:val="right"/>
              <w:rPr>
                <w:rFonts w:ascii="宋体" w:hAnsi="宋体" w:cs="宋体"/>
                <w:color w:val="000000"/>
                <w:sz w:val="16"/>
                <w:szCs w:val="16"/>
              </w:rPr>
            </w:pPr>
          </w:p>
        </w:tc>
        <w:tc>
          <w:tcPr>
            <w:tcW w:w="2659" w:type="dxa"/>
            <w:gridSpan w:val="4"/>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公开04表</w:t>
            </w:r>
          </w:p>
        </w:tc>
      </w:tr>
      <w:tr>
        <w:trPr>
          <w:gridBefore w:val="1"/>
          <w:wBefore w:w="15" w:type="dxa"/>
          <w:trHeight w:val="90" w:hRule="atLeast"/>
        </w:trPr>
        <w:tc>
          <w:tcPr>
            <w:tcW w:w="2289" w:type="dxa"/>
            <w:gridSpan w:val="4"/>
            <w:vAlign w:val="center"/>
          </w:tcPr>
          <w:p>
            <w:pPr>
              <w:rPr>
                <w:rFonts w:ascii="宋体" w:hAnsi="宋体" w:cs="宋体"/>
                <w:color w:val="000000"/>
                <w:sz w:val="16"/>
                <w:szCs w:val="16"/>
              </w:rPr>
            </w:pPr>
          </w:p>
        </w:tc>
        <w:tc>
          <w:tcPr>
            <w:tcW w:w="315" w:type="dxa"/>
            <w:gridSpan w:val="2"/>
            <w:vAlign w:val="center"/>
          </w:tcPr>
          <w:p>
            <w:pPr>
              <w:rPr>
                <w:rFonts w:ascii="宋体" w:hAnsi="宋体" w:cs="宋体"/>
                <w:color w:val="000000"/>
                <w:sz w:val="16"/>
                <w:szCs w:val="16"/>
              </w:rPr>
            </w:pPr>
          </w:p>
        </w:tc>
        <w:tc>
          <w:tcPr>
            <w:tcW w:w="1416" w:type="dxa"/>
            <w:gridSpan w:val="2"/>
            <w:vAlign w:val="center"/>
          </w:tcPr>
          <w:p>
            <w:pPr>
              <w:rPr>
                <w:rFonts w:ascii="宋体" w:hAnsi="宋体" w:cs="宋体"/>
                <w:color w:val="000000"/>
                <w:sz w:val="16"/>
                <w:szCs w:val="16"/>
              </w:rPr>
            </w:pPr>
          </w:p>
        </w:tc>
        <w:tc>
          <w:tcPr>
            <w:tcW w:w="1432" w:type="dxa"/>
            <w:vAlign w:val="center"/>
          </w:tcPr>
          <w:p>
            <w:pPr>
              <w:rPr>
                <w:rFonts w:ascii="宋体" w:hAnsi="宋体" w:cs="宋体"/>
                <w:color w:val="000000"/>
                <w:sz w:val="16"/>
                <w:szCs w:val="16"/>
              </w:rPr>
            </w:pPr>
          </w:p>
        </w:tc>
        <w:tc>
          <w:tcPr>
            <w:tcW w:w="316" w:type="dxa"/>
            <w:vAlign w:val="center"/>
          </w:tcPr>
          <w:p>
            <w:pPr>
              <w:rPr>
                <w:rFonts w:ascii="宋体" w:hAnsi="宋体" w:cs="宋体"/>
                <w:color w:val="000000"/>
                <w:sz w:val="16"/>
                <w:szCs w:val="16"/>
              </w:rPr>
            </w:pPr>
          </w:p>
        </w:tc>
        <w:tc>
          <w:tcPr>
            <w:tcW w:w="999" w:type="dxa"/>
            <w:gridSpan w:val="5"/>
            <w:vAlign w:val="center"/>
          </w:tcPr>
          <w:p>
            <w:pPr>
              <w:jc w:val="right"/>
              <w:rPr>
                <w:rFonts w:ascii="宋体" w:hAnsi="宋体" w:cs="宋体"/>
                <w:color w:val="000000"/>
                <w:sz w:val="16"/>
                <w:szCs w:val="16"/>
              </w:rPr>
            </w:pPr>
          </w:p>
        </w:tc>
        <w:tc>
          <w:tcPr>
            <w:tcW w:w="999" w:type="dxa"/>
            <w:gridSpan w:val="2"/>
            <w:vAlign w:val="center"/>
          </w:tcPr>
          <w:p>
            <w:pPr>
              <w:jc w:val="right"/>
              <w:rPr>
                <w:rFonts w:ascii="宋体" w:hAnsi="宋体" w:cs="宋体"/>
                <w:color w:val="000000"/>
                <w:sz w:val="16"/>
                <w:szCs w:val="16"/>
              </w:rPr>
            </w:pPr>
          </w:p>
        </w:tc>
        <w:tc>
          <w:tcPr>
            <w:tcW w:w="2659" w:type="dxa"/>
            <w:gridSpan w:val="4"/>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gridBefore w:val="1"/>
          <w:wBefore w:w="15" w:type="dxa"/>
          <w:trHeight w:val="285" w:hRule="atLeast"/>
        </w:trPr>
        <w:tc>
          <w:tcPr>
            <w:tcW w:w="4020"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收　　入</w:t>
            </w:r>
          </w:p>
        </w:tc>
        <w:tc>
          <w:tcPr>
            <w:tcW w:w="6405" w:type="dxa"/>
            <w:gridSpan w:val="1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支　　出</w:t>
            </w:r>
          </w:p>
        </w:tc>
      </w:tr>
      <w:tr>
        <w:trPr>
          <w:gridBefore w:val="1"/>
          <w:wBefore w:w="15" w:type="dxa"/>
          <w:trHeight w:val="480"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政府性基金预算财政拨款</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527.34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548.61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548.61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41.08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41.08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527.34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589.69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589.69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80.77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18.42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18.42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80.77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gridBefore w:val="1"/>
          <w:wBefore w:w="15" w:type="dxa"/>
          <w:trHeight w:val="90" w:hRule="atLeast"/>
        </w:trPr>
        <w:tc>
          <w:tcPr>
            <w:tcW w:w="2145"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30</w:t>
            </w:r>
          </w:p>
        </w:tc>
        <w:tc>
          <w:tcPr>
            <w:tcW w:w="147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608.11 </w:t>
            </w:r>
          </w:p>
        </w:tc>
        <w:tc>
          <w:tcPr>
            <w:tcW w:w="2085"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60</w:t>
            </w:r>
          </w:p>
        </w:tc>
        <w:tc>
          <w:tcPr>
            <w:tcW w:w="1300"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608.11 </w:t>
            </w:r>
          </w:p>
        </w:tc>
        <w:tc>
          <w:tcPr>
            <w:tcW w:w="13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608.11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r>
      <w:tr>
        <w:trPr>
          <w:gridBefore w:val="1"/>
          <w:wBefore w:w="15" w:type="dxa"/>
          <w:trHeight w:val="495" w:hRule="atLeast"/>
        </w:trPr>
        <w:tc>
          <w:tcPr>
            <w:tcW w:w="10425" w:type="dxa"/>
            <w:gridSpan w:val="21"/>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注：本表反映部门本年度一般公共预算财政拨款和政府性基金预算财政拨款的总收支和年末结转结余情况。             </w:t>
            </w:r>
          </w:p>
        </w:tc>
      </w:tr>
      <w:tr>
        <w:trPr>
          <w:trHeight w:val="375" w:hRule="atLeast"/>
        </w:trPr>
        <w:tc>
          <w:tcPr>
            <w:tcW w:w="10440"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一般公共预算财政拨款支出决算表</w:t>
            </w:r>
          </w:p>
        </w:tc>
      </w:tr>
      <w:tr>
        <w:trPr>
          <w:trHeight w:val="285" w:hRule="atLeast"/>
        </w:trPr>
        <w:tc>
          <w:tcPr>
            <w:tcW w:w="1891" w:type="dxa"/>
            <w:gridSpan w:val="3"/>
            <w:vAlign w:val="center"/>
          </w:tcPr>
          <w:p>
            <w:pPr>
              <w:rPr>
                <w:rFonts w:ascii="宋体" w:hAnsi="宋体" w:cs="宋体"/>
                <w:color w:val="000000"/>
                <w:sz w:val="16"/>
                <w:szCs w:val="16"/>
              </w:rPr>
            </w:pPr>
          </w:p>
        </w:tc>
        <w:tc>
          <w:tcPr>
            <w:tcW w:w="1800" w:type="dxa"/>
            <w:gridSpan w:val="5"/>
            <w:vAlign w:val="center"/>
          </w:tcPr>
          <w:p>
            <w:pPr>
              <w:rPr>
                <w:rFonts w:ascii="宋体" w:hAnsi="宋体" w:cs="宋体"/>
                <w:color w:val="000000"/>
                <w:sz w:val="16"/>
                <w:szCs w:val="16"/>
              </w:rPr>
            </w:pPr>
          </w:p>
        </w:tc>
        <w:tc>
          <w:tcPr>
            <w:tcW w:w="2325" w:type="dxa"/>
            <w:gridSpan w:val="5"/>
            <w:vAlign w:val="center"/>
          </w:tcPr>
          <w:p>
            <w:pPr>
              <w:rPr>
                <w:rFonts w:ascii="宋体" w:hAnsi="宋体" w:cs="宋体"/>
                <w:color w:val="000000"/>
                <w:sz w:val="16"/>
                <w:szCs w:val="16"/>
              </w:rPr>
            </w:pPr>
          </w:p>
        </w:tc>
        <w:tc>
          <w:tcPr>
            <w:tcW w:w="1575" w:type="dxa"/>
            <w:gridSpan w:val="4"/>
            <w:vAlign w:val="center"/>
          </w:tcPr>
          <w:p>
            <w:pPr>
              <w:rPr>
                <w:rFonts w:ascii="宋体" w:hAnsi="宋体" w:cs="宋体"/>
                <w:color w:val="000000"/>
                <w:sz w:val="16"/>
                <w:szCs w:val="16"/>
              </w:rPr>
            </w:pPr>
          </w:p>
        </w:tc>
        <w:tc>
          <w:tcPr>
            <w:tcW w:w="2849" w:type="dxa"/>
            <w:gridSpan w:val="5"/>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公开05表</w:t>
            </w:r>
          </w:p>
        </w:tc>
      </w:tr>
      <w:tr>
        <w:trPr>
          <w:trHeight w:val="270" w:hRule="atLeast"/>
        </w:trPr>
        <w:tc>
          <w:tcPr>
            <w:tcW w:w="1891" w:type="dxa"/>
            <w:gridSpan w:val="3"/>
            <w:vAlign w:val="center"/>
          </w:tcPr>
          <w:p>
            <w:pPr>
              <w:rPr>
                <w:rFonts w:ascii="宋体" w:hAnsi="宋体" w:cs="宋体"/>
                <w:color w:val="000000"/>
                <w:sz w:val="16"/>
                <w:szCs w:val="16"/>
              </w:rPr>
            </w:pPr>
          </w:p>
        </w:tc>
        <w:tc>
          <w:tcPr>
            <w:tcW w:w="1800" w:type="dxa"/>
            <w:gridSpan w:val="5"/>
            <w:vAlign w:val="center"/>
          </w:tcPr>
          <w:p>
            <w:pPr>
              <w:rPr>
                <w:rFonts w:ascii="宋体" w:hAnsi="宋体" w:cs="宋体"/>
                <w:color w:val="000000"/>
                <w:sz w:val="16"/>
                <w:szCs w:val="16"/>
              </w:rPr>
            </w:pPr>
          </w:p>
        </w:tc>
        <w:tc>
          <w:tcPr>
            <w:tcW w:w="2325" w:type="dxa"/>
            <w:gridSpan w:val="5"/>
            <w:vAlign w:val="center"/>
          </w:tcPr>
          <w:p>
            <w:pPr>
              <w:rPr>
                <w:rFonts w:ascii="宋体" w:hAnsi="宋体" w:cs="宋体"/>
                <w:color w:val="000000"/>
                <w:sz w:val="16"/>
                <w:szCs w:val="16"/>
              </w:rPr>
            </w:pPr>
          </w:p>
        </w:tc>
        <w:tc>
          <w:tcPr>
            <w:tcW w:w="1575" w:type="dxa"/>
            <w:gridSpan w:val="4"/>
            <w:vAlign w:val="center"/>
          </w:tcPr>
          <w:p>
            <w:pPr>
              <w:rPr>
                <w:rFonts w:ascii="宋体" w:hAnsi="宋体" w:cs="宋体"/>
                <w:color w:val="000000"/>
                <w:sz w:val="16"/>
                <w:szCs w:val="16"/>
              </w:rPr>
            </w:pPr>
          </w:p>
        </w:tc>
        <w:tc>
          <w:tcPr>
            <w:tcW w:w="2849" w:type="dxa"/>
            <w:gridSpan w:val="5"/>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w:t>
            </w:r>
          </w:p>
        </w:tc>
        <w:tc>
          <w:tcPr>
            <w:tcW w:w="2249"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2249"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2251"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2249"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49"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51"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369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r>
      <w:tr>
        <w:trPr>
          <w:trHeight w:val="300" w:hRule="atLeast"/>
        </w:trPr>
        <w:tc>
          <w:tcPr>
            <w:tcW w:w="369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589.69</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460.21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b/>
                <w:bCs/>
                <w:color w:val="000000"/>
                <w:sz w:val="16"/>
                <w:szCs w:val="16"/>
              </w:rPr>
            </w:pPr>
            <w:r>
              <w:rPr>
                <w:rFonts w:hint="eastAsia" w:ascii="宋体" w:hAnsi="宋体" w:cs="Arial"/>
                <w:b/>
                <w:bCs/>
                <w:color w:val="000000"/>
                <w:sz w:val="16"/>
                <w:szCs w:val="16"/>
              </w:rPr>
              <w:t>129.48</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一般公共服务支出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548.61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419.13</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129.48</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审计事务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548.61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419.13</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129.48</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行政运行</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105.34</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105.34</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一般行政管理事务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30.00</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审计业务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300.74</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249.62</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51.12</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2010806</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信息化建设</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48.36</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48.36</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2010850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事业运行</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64.17</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64.17</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社会保障和就业支出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行政事业单位离退休</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ascii="宋体" w:hAnsi="宋体" w:cs="Arial"/>
                <w:color w:val="000000"/>
                <w:sz w:val="16"/>
                <w:szCs w:val="16"/>
              </w:rPr>
              <w:t xml:space="preserve">  归口管理的行政单位离退休</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6"/>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600" w:hRule="atLeast"/>
        </w:trPr>
        <w:tc>
          <w:tcPr>
            <w:tcW w:w="10440" w:type="dxa"/>
            <w:gridSpan w:val="2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18" w:right="1531" w:bottom="1304" w:left="1588" w:header="851"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公开06表</w:t>
            </w:r>
          </w:p>
        </w:tc>
      </w:tr>
      <w:tr>
        <w:trPr>
          <w:trHeight w:val="270"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230.87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183.51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107.04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31.87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62.47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50.64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24.10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10.72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6.81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3.01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4.16</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45.29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25.87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41.08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53.34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1.32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2.30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3.58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8.60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2.30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0.60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0.10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1.94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8.97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0.07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8.26</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0.54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16"/>
                <w:szCs w:val="16"/>
              </w:rPr>
            </w:pPr>
            <w:r>
              <w:rPr>
                <w:rFonts w:hint="eastAsia" w:ascii="宋体" w:hAnsi="宋体" w:cs="Arial"/>
                <w:color w:val="000000"/>
                <w:sz w:val="16"/>
                <w:szCs w:val="16"/>
              </w:rPr>
              <w:t>0.54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公开07表</w:t>
            </w:r>
          </w:p>
        </w:tc>
      </w:tr>
      <w:tr>
        <w:trPr>
          <w:trHeight w:val="270"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18.00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　</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18.00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　</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12.00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6.00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hint="eastAsia" w:ascii="宋体" w:hAnsi="宋体" w:cs="Arial"/>
                <w:color w:val="000000"/>
                <w:sz w:val="16"/>
                <w:szCs w:val="16"/>
              </w:rPr>
              <w:t>12.55</w:t>
            </w:r>
          </w:p>
        </w:tc>
        <w:tc>
          <w:tcPr>
            <w:tcW w:w="923" w:type="dxa"/>
            <w:gridSpan w:val="3"/>
            <w:tcBorders>
              <w:top w:val="single" w:color="000000" w:sz="4" w:space="0"/>
              <w:left w:val="single" w:color="000000" w:sz="4" w:space="0"/>
              <w:bottom w:val="single" w:color="000000" w:sz="12" w:space="0"/>
              <w:right w:val="single" w:color="000000" w:sz="4" w:space="0"/>
            </w:tcBorders>
            <w:vAlign w:val="bottom"/>
          </w:tcPr>
          <w:p>
            <w:pPr>
              <w:jc w:val="center"/>
              <w:rPr>
                <w:rFonts w:ascii="宋体" w:hAnsi="宋体" w:cs="Arial"/>
                <w:color w:val="000000"/>
                <w:sz w:val="16"/>
                <w:szCs w:val="16"/>
              </w:rPr>
            </w:pPr>
            <w:r>
              <w:rPr>
                <w:rFonts w:ascii="宋体" w:hAnsi="宋体" w:cs="Arial"/>
                <w:color w:val="000000"/>
                <w:sz w:val="16"/>
                <w:szCs w:val="16"/>
              </w:rPr>
              <w:t>　</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ascii="宋体" w:hAnsi="宋体" w:cs="Arial"/>
                <w:color w:val="000000"/>
                <w:sz w:val="16"/>
                <w:szCs w:val="16"/>
              </w:rPr>
              <w:t>12.55</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ascii="宋体" w:hAnsi="宋体" w:cs="Arial"/>
                <w:color w:val="000000"/>
                <w:sz w:val="16"/>
                <w:szCs w:val="16"/>
              </w:rPr>
              <w:t>　</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Arial"/>
                <w:color w:val="000000"/>
                <w:sz w:val="16"/>
                <w:szCs w:val="16"/>
              </w:rPr>
            </w:pPr>
            <w:r>
              <w:rPr>
                <w:rFonts w:ascii="宋体" w:hAnsi="宋体" w:cs="Arial"/>
                <w:color w:val="000000"/>
                <w:sz w:val="16"/>
                <w:szCs w:val="16"/>
              </w:rPr>
              <w:t>8.97</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cs="Arial"/>
                <w:color w:val="000000"/>
                <w:sz w:val="16"/>
                <w:szCs w:val="16"/>
              </w:rPr>
            </w:pPr>
            <w:r>
              <w:rPr>
                <w:rFonts w:ascii="宋体" w:hAnsi="宋体" w:cs="Arial"/>
                <w:color w:val="000000"/>
                <w:sz w:val="16"/>
                <w:szCs w:val="16"/>
              </w:rPr>
              <w:t>3.58</w:t>
            </w:r>
          </w:p>
        </w:tc>
      </w:tr>
      <w:tr>
        <w:trPr>
          <w:trHeight w:val="600" w:hRule="atLeast"/>
        </w:trPr>
        <w:tc>
          <w:tcPr>
            <w:tcW w:w="10485" w:type="dxa"/>
            <w:gridSpan w:val="2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公开08表</w:t>
            </w:r>
          </w:p>
        </w:tc>
      </w:tr>
      <w:tr>
        <w:trPr>
          <w:trHeight w:val="270"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cs="宋体"/>
                <w:b/>
                <w:color w:val="FF0000"/>
                <w:sz w:val="20"/>
                <w:szCs w:val="20"/>
              </w:rPr>
            </w:pPr>
            <w:r>
              <w:rPr>
                <w:rFonts w:hint="eastAsia" w:ascii="宋体" w:hAnsi="宋体" w:cs="宋体"/>
                <w:b/>
                <w:color w:val="FF0000"/>
                <w:kern w:val="0"/>
                <w:sz w:val="20"/>
                <w:szCs w:val="20"/>
              </w:rPr>
              <w:t>说明：郏县审计局没有政府性基金收入，也没有使用政府性基金安排的支出，故本表无数据。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郏县审计局</w:t>
      </w:r>
    </w:p>
    <w:p>
      <w:pPr>
        <w:jc w:val="cente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2016年度部门决算情况说明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2016年度收入总计611.38万元，支出总计592.96万元，与2015年相比，收入总计增加86.15万元，增长19.38%。与2015年相比，支出总计增加163.51万元，增长38.07%。</w:t>
      </w:r>
      <w:r>
        <w:rPr>
          <w:rFonts w:hint="eastAsia" w:ascii="仿宋_GB2312" w:hAnsi="宋体" w:eastAsia="仿宋_GB2312" w:cs="Courier New"/>
          <w:b/>
          <w:sz w:val="32"/>
          <w:szCs w:val="32"/>
        </w:rPr>
        <w:t>主要原因：</w:t>
      </w:r>
      <w:r>
        <w:rPr>
          <w:rFonts w:hint="eastAsia" w:ascii="仿宋_GB2312" w:hAnsi="宋体" w:eastAsia="仿宋_GB2312" w:cs="Courier New"/>
          <w:sz w:val="32"/>
          <w:szCs w:val="32"/>
        </w:rPr>
        <w:t>一是养老保险及工资改革，基本支出增幅较大；二是应政府文件精神号召，增加公益性岗位。对应新增上述工作资金支出。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收入合计611.38万元</w:t>
      </w:r>
      <w:r>
        <w:rPr>
          <w:rFonts w:hint="eastAsia" w:ascii="仿宋_GB2312" w:hAnsi="Times New Roman" w:eastAsia="仿宋_GB2312"/>
          <w:sz w:val="32"/>
          <w:szCs w:val="32"/>
          <w:lang w:eastAsia="zh-CN"/>
        </w:rPr>
        <w:t>（其中</w:t>
      </w:r>
      <w:r>
        <w:rPr>
          <w:rFonts w:hint="eastAsia" w:ascii="仿宋_GB2312" w:hAnsi="Times New Roman" w:eastAsia="仿宋_GB2312"/>
          <w:sz w:val="32"/>
          <w:szCs w:val="32"/>
        </w:rPr>
        <w:t>年初结转80.77万元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其中：财政拨款收入527.34万元，占</w:t>
      </w:r>
      <w:r>
        <w:rPr>
          <w:rFonts w:hint="eastAsia" w:ascii="仿宋_GB2312" w:hAnsi="Times New Roman" w:eastAsia="仿宋_GB2312"/>
          <w:sz w:val="32"/>
          <w:szCs w:val="32"/>
          <w:lang w:val="en-US" w:eastAsia="zh-CN"/>
        </w:rPr>
        <w:t>99.38</w:t>
      </w:r>
      <w:r>
        <w:rPr>
          <w:rFonts w:ascii="仿宋_GB2312" w:hAnsi="Times New Roman" w:eastAsia="仿宋_GB2312"/>
          <w:sz w:val="32"/>
          <w:szCs w:val="32"/>
        </w:rPr>
        <w:t>%</w:t>
      </w:r>
      <w:r>
        <w:rPr>
          <w:rFonts w:hint="eastAsia" w:ascii="仿宋_GB2312" w:hAnsi="Times New Roman" w:eastAsia="仿宋_GB2312"/>
          <w:sz w:val="32"/>
          <w:szCs w:val="32"/>
        </w:rPr>
        <w:t>；其他收入3.27万元，占0.62</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2016年度支出合计592.96万元，其中：基本支出460.21万元，占77.61</w:t>
      </w:r>
      <w:r>
        <w:rPr>
          <w:rFonts w:ascii="仿宋_GB2312" w:hAnsi="宋体" w:eastAsia="仿宋_GB2312" w:cs="Courier New"/>
          <w:sz w:val="32"/>
          <w:szCs w:val="32"/>
        </w:rPr>
        <w:t>%</w:t>
      </w:r>
      <w:r>
        <w:rPr>
          <w:rFonts w:hint="eastAsia" w:ascii="仿宋_GB2312" w:hAnsi="宋体" w:eastAsia="仿宋_GB2312" w:cs="Courier New"/>
          <w:sz w:val="32"/>
          <w:szCs w:val="32"/>
        </w:rPr>
        <w:t>；项目支出132.75万元，占22.39%；经营支出</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2016年度财政拨款收入总计527.34万元，支出总计589.69万元，与2015年相比，收入总计增加82.88万元，增长18.65%。与2015年相比，支出总计增加160.24万元，增长37.31%。</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2016年一般公共预算财政拨款支出589.69万元，占支出合计的99.45%。与2015年相比，一般公共预算财政拨款支出增加增加160.24万元，增长37.31%。</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2016年度一般公共预算财政拨款支出589.69万元，主要用于以下方面：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支出548.61万元，占93.03%；</w:t>
      </w:r>
      <w:r>
        <w:rPr>
          <w:rFonts w:hint="eastAsia" w:ascii="仿宋_GB2312" w:hAnsi="宋体" w:eastAsia="仿宋_GB2312" w:cs="Courier New"/>
          <w:b/>
          <w:bCs/>
          <w:sz w:val="32"/>
          <w:szCs w:val="32"/>
        </w:rPr>
        <w:t>社会保障和就业</w:t>
      </w:r>
      <w:r>
        <w:rPr>
          <w:rFonts w:hint="eastAsia" w:ascii="仿宋_GB2312" w:hAnsi="宋体" w:eastAsia="仿宋_GB2312" w:cs="Courier New"/>
          <w:sz w:val="32"/>
          <w:szCs w:val="32"/>
        </w:rPr>
        <w:t>支出41.08万元，占6.97%。</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2016年度一般公共预算财政拨款支出年初预算为</w:t>
      </w:r>
      <w:r>
        <w:rPr>
          <w:rFonts w:hint="eastAsia" w:ascii="仿宋_GB2312" w:eastAsia="仿宋_GB2312"/>
          <w:sz w:val="32"/>
          <w:szCs w:val="32"/>
        </w:rPr>
        <w:t>464.3</w:t>
      </w:r>
      <w:r>
        <w:rPr>
          <w:rFonts w:hint="eastAsia" w:ascii="仿宋_GB2312" w:hAnsi="宋体" w:eastAsia="仿宋_GB2312" w:cs="Courier New"/>
          <w:sz w:val="32"/>
          <w:szCs w:val="32"/>
        </w:rPr>
        <w:t>万元，支出决算为592.96万元，完成年初预算的127.71%。决算数大于预算数的主要原因：养老保险及工资改革及房屋大型修缮等基础建设临时性预算增加。</w:t>
      </w:r>
      <w:r>
        <w:rPr>
          <w:rFonts w:hint="eastAsia" w:ascii="仿宋_GB2312" w:hAnsi="宋体" w:eastAsia="仿宋_GB2312" w:cs="Courier New"/>
          <w:sz w:val="32"/>
          <w:szCs w:val="32"/>
          <w:lang w:eastAsia="zh-CN"/>
        </w:rPr>
        <w:t>其中：</w:t>
      </w:r>
    </w:p>
    <w:p>
      <w:pPr>
        <w:numPr>
          <w:ilvl w:val="0"/>
          <w:numId w:val="7"/>
        </w:numPr>
        <w:adjustRightInd w:val="0"/>
        <w:snapToGrid w:val="0"/>
        <w:spacing w:line="360" w:lineRule="auto"/>
        <w:ind w:firstLine="640"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bCs/>
          <w:sz w:val="32"/>
          <w:szCs w:val="32"/>
          <w:lang w:val="en-US" w:eastAsia="zh-CN"/>
        </w:rPr>
        <w:t>一般公共服务支出</w:t>
      </w:r>
      <w:r>
        <w:rPr>
          <w:rFonts w:hint="eastAsia" w:ascii="仿宋_GB2312" w:hAnsi="宋体" w:eastAsia="仿宋_GB2312" w:cs="Courier New"/>
          <w:b w:val="0"/>
          <w:bCs w:val="0"/>
          <w:sz w:val="32"/>
          <w:szCs w:val="32"/>
          <w:lang w:val="en-US" w:eastAsia="zh-CN"/>
        </w:rPr>
        <w:t>年初预算为372.42万元，支出决算为548.61万元，完成年初预算的147%；决算数大于年初预算数，主要原因：年初非税收入预算过小；</w:t>
      </w:r>
    </w:p>
    <w:p>
      <w:pPr>
        <w:numPr>
          <w:ilvl w:val="0"/>
          <w:numId w:val="7"/>
        </w:numPr>
        <w:adjustRightInd w:val="0"/>
        <w:snapToGrid w:val="0"/>
        <w:spacing w:line="360" w:lineRule="auto"/>
        <w:ind w:firstLine="640"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bCs/>
          <w:sz w:val="32"/>
          <w:szCs w:val="32"/>
          <w:lang w:val="en-US" w:eastAsia="zh-CN"/>
        </w:rPr>
        <w:t>社会保障和就业支出</w:t>
      </w:r>
      <w:r>
        <w:rPr>
          <w:rFonts w:hint="eastAsia" w:ascii="仿宋_GB2312" w:hAnsi="宋体" w:eastAsia="仿宋_GB2312" w:cs="Courier New"/>
          <w:b w:val="0"/>
          <w:bCs w:val="0"/>
          <w:sz w:val="32"/>
          <w:szCs w:val="32"/>
          <w:lang w:val="en-US" w:eastAsia="zh-CN"/>
        </w:rPr>
        <w:t>年初预算为41.08万元，支出决算为41.08万元，完成年初预算的100%；决算数等于年初预算数，</w:t>
      </w:r>
    </w:p>
    <w:p>
      <w:pPr>
        <w:numPr>
          <w:ilvl w:val="0"/>
          <w:numId w:val="7"/>
        </w:num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lang w:val="en-US" w:eastAsia="zh-CN"/>
        </w:rPr>
        <w:t>其他支出</w:t>
      </w:r>
      <w:r>
        <w:rPr>
          <w:rFonts w:hint="eastAsia" w:ascii="仿宋_GB2312" w:hAnsi="宋体" w:eastAsia="仿宋_GB2312" w:cs="Courier New"/>
          <w:b w:val="0"/>
          <w:bCs w:val="0"/>
          <w:sz w:val="32"/>
          <w:szCs w:val="32"/>
          <w:lang w:val="en-US" w:eastAsia="zh-CN"/>
        </w:rPr>
        <w:t>年初预算为0万元，支出决算为3.27万元，完成年初预算的100%；决算数大于年初预算数，主要原因：年初非税收入预算过小。</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2016年一般公共预算财政拨款基本支出460.21万元，其中：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rPr>
        <w:t>276.16万元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主要包括：基本工资、津贴补贴、文明奖、其他社会保障缴费、退休费、抚恤金、救济费、住房公积金、其他对个人和家庭的补助；</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184.05万元</w:t>
      </w:r>
      <w:r>
        <w:rPr>
          <w:rFonts w:hint="eastAsia" w:ascii="仿宋_GB2312" w:hAnsi="宋体" w:eastAsia="仿宋_GB2312" w:cs="Courier New"/>
          <w:sz w:val="32"/>
          <w:szCs w:val="32"/>
        </w:rPr>
        <w:t>，主要包括：办公费、咨询费、差旅费、维修费、物业费、公务接待费、公务用车费、办公购置费、电费、邮电费、培训费、委托业务费、工会经费、福利费、其他商品和服务支出。</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18万元，支出决算为12.55万元，完成预算的69.72%，其中：因公出国（境）费支出决算为0万元；公务用车购置及运行费支出决算为8.97万元，完成预算的74.75%；公务接待费支出决算为3.58万元，完成预算的59.67%。2016年度“三公”经费支出决算数小于预算数的主要原因是</w:t>
      </w:r>
      <w:r>
        <w:rPr>
          <w:rFonts w:hint="eastAsia" w:ascii="仿宋_GB2312" w:eastAsia="仿宋_GB2312"/>
          <w:sz w:val="32"/>
          <w:szCs w:val="32"/>
        </w:rPr>
        <w:t>严格执行《党政机关国内公务接待管理规定》等办法，不断规范公务接待管理，严格接待审批控制，厉行节约，压缩公务接待费支出。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5.45万元，下降30.28%，其中：公务用车购置及运行费支出决算减少3.03万元，下降25.25%；公务接待费支出决算减少2.42万元，下降40.33%。公务用车购置及运行费支出减少的主要原因是</w:t>
      </w:r>
      <w:r>
        <w:rPr>
          <w:rFonts w:hint="eastAsia" w:ascii="仿宋_GB2312" w:eastAsia="仿宋_GB2312"/>
          <w:sz w:val="32"/>
          <w:szCs w:val="32"/>
        </w:rPr>
        <w:t>公车改革后车辆减少，车辆运行维护费下降</w:t>
      </w:r>
      <w:r>
        <w:rPr>
          <w:rFonts w:hint="eastAsia" w:ascii="仿宋_GB2312" w:hAnsi="宋体" w:eastAsia="仿宋_GB2312" w:cs="Courier New"/>
          <w:sz w:val="32"/>
          <w:szCs w:val="32"/>
        </w:rPr>
        <w:t>；公务接待费支出减少的主要原因是</w:t>
      </w:r>
      <w:r>
        <w:rPr>
          <w:rFonts w:hint="eastAsia" w:ascii="仿宋_GB2312" w:eastAsia="仿宋_GB2312"/>
          <w:sz w:val="32"/>
          <w:szCs w:val="32"/>
        </w:rPr>
        <w:t>严格执行《党政机关国内公务接待管理规定》等办法，规范公务接待管理，严格接待审批控制，厉行节约，压缩公务接待费支出</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0人次、</w:t>
      </w:r>
      <w:r>
        <w:rPr>
          <w:rFonts w:hint="eastAsia" w:ascii="仿宋_GB2312" w:hAnsi="宋体" w:eastAsia="仿宋_GB2312" w:cs="Courier New"/>
          <w:sz w:val="32"/>
          <w:szCs w:val="32"/>
        </w:rPr>
        <w:t>0万元；公务用车购置及运行费支出决算8.97万元，占71.47%；公务接待费支出决算3.58万元，占28.53%。具体情况如下：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全年安排</w:t>
      </w:r>
      <w:r>
        <w:rPr>
          <w:rFonts w:hint="eastAsia" w:ascii="仿宋_GB2312" w:hAnsi="宋体" w:eastAsia="仿宋_GB2312" w:cs="Courier New"/>
          <w:sz w:val="32"/>
          <w:szCs w:val="32"/>
          <w:lang w:val="en-US" w:eastAsia="zh-CN"/>
        </w:rPr>
        <w:t>局</w:t>
      </w:r>
      <w:r>
        <w:rPr>
          <w:rFonts w:hint="eastAsia" w:ascii="仿宋_GB2312" w:hAnsi="宋体" w:eastAsia="仿宋_GB2312" w:cs="Courier New"/>
          <w:sz w:val="32"/>
          <w:szCs w:val="32"/>
        </w:rPr>
        <w:t>机关</w:t>
      </w:r>
      <w:r>
        <w:rPr>
          <w:rFonts w:hint="eastAsia" w:ascii="仿宋_GB2312" w:hAnsi="宋体" w:eastAsia="仿宋_GB2312" w:cs="Courier New"/>
          <w:sz w:val="32"/>
          <w:szCs w:val="32"/>
          <w:lang w:val="en-US" w:eastAsia="zh-CN"/>
        </w:rPr>
        <w:t>和下属</w:t>
      </w:r>
      <w:r>
        <w:rPr>
          <w:rFonts w:hint="eastAsia" w:ascii="仿宋_GB2312" w:hAnsi="宋体" w:eastAsia="仿宋_GB2312" w:cs="Courier New"/>
          <w:sz w:val="32"/>
          <w:szCs w:val="32"/>
        </w:rPr>
        <w:t>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支出8.97万元。其中：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支出8.97万元。主要用于</w:t>
      </w:r>
      <w:r>
        <w:rPr>
          <w:rFonts w:hint="eastAsia" w:ascii="仿宋_GB2312" w:eastAsia="仿宋_GB2312"/>
          <w:sz w:val="32"/>
          <w:szCs w:val="32"/>
        </w:rPr>
        <w:t>车辆运行维护及燃油费</w:t>
      </w:r>
      <w:r>
        <w:rPr>
          <w:rFonts w:hint="eastAsia" w:ascii="仿宋_GB2312" w:hAnsi="宋体" w:eastAsia="仿宋_GB2312" w:cs="Courier New"/>
          <w:sz w:val="32"/>
          <w:szCs w:val="32"/>
        </w:rPr>
        <w:t>。2016年期末，郏县审计局属单位开支财政拨款的公务用车保有量为1</w:t>
      </w:r>
      <w:r>
        <w:rPr>
          <w:rFonts w:hint="eastAsia" w:ascii="仿宋_GB2312" w:hAnsi="宋体" w:eastAsia="仿宋_GB2312" w:cs="Courier New"/>
          <w:sz w:val="32"/>
          <w:szCs w:val="32"/>
          <w:lang w:eastAsia="zh-CN"/>
        </w:rPr>
        <w:t>辆</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30" w:firstLineChars="196"/>
        <w:outlineLvl w:val="1"/>
        <w:rPr>
          <w:rFonts w:ascii="黑体" w:hAnsi="黑体" w:eastAsia="黑体"/>
          <w:sz w:val="32"/>
          <w:szCs w:val="32"/>
        </w:rPr>
      </w:pPr>
      <w:r>
        <w:rPr>
          <w:rFonts w:hint="eastAsia" w:ascii="仿宋_GB2312" w:hAnsi="宋体" w:eastAsia="仿宋_GB2312" w:cs="Courier New"/>
          <w:b/>
          <w:bCs/>
          <w:sz w:val="32"/>
          <w:szCs w:val="32"/>
        </w:rPr>
        <w:t>3. 公务接待费支出3.58万元。</w:t>
      </w:r>
      <w:r>
        <w:rPr>
          <w:rFonts w:hint="eastAsia" w:ascii="仿宋_GB2312" w:hAnsi="宋体" w:eastAsia="仿宋_GB2312" w:cs="Courier New"/>
          <w:sz w:val="32"/>
          <w:szCs w:val="32"/>
        </w:rPr>
        <w:t>主要用于</w:t>
      </w:r>
      <w:r>
        <w:rPr>
          <w:rFonts w:hint="eastAsia" w:ascii="仿宋_GB2312" w:eastAsia="仿宋_GB2312"/>
          <w:sz w:val="32"/>
          <w:szCs w:val="32"/>
        </w:rPr>
        <w:t>公务</w:t>
      </w:r>
      <w:r>
        <w:rPr>
          <w:rFonts w:hint="eastAsia" w:ascii="仿宋_GB2312" w:eastAsia="仿宋_GB2312"/>
          <w:sz w:val="32"/>
          <w:szCs w:val="32"/>
          <w:lang w:eastAsia="zh-CN"/>
        </w:rPr>
        <w:t>用餐及住宿</w:t>
      </w:r>
      <w:r>
        <w:rPr>
          <w:rFonts w:hint="eastAsia" w:ascii="仿宋_GB2312" w:eastAsia="仿宋_GB2312"/>
          <w:sz w:val="32"/>
          <w:szCs w:val="32"/>
        </w:rPr>
        <w:t>,</w:t>
      </w:r>
      <w:r>
        <w:rPr>
          <w:rFonts w:hint="eastAsia" w:ascii="仿宋_GB2312" w:hAnsi="宋体" w:eastAsia="仿宋_GB2312" w:cs="Courier New"/>
          <w:sz w:val="32"/>
          <w:szCs w:val="32"/>
        </w:rPr>
        <w:t xml:space="preserve"> 2016年度共接待来访团组160个、来访人员795人次。</w:t>
      </w:r>
    </w:p>
    <w:p>
      <w:pPr>
        <w:numPr>
          <w:numId w:val="0"/>
        </w:numPr>
        <w:kinsoku w:val="0"/>
        <w:overflowPunct w:val="0"/>
        <w:autoSpaceDE w:val="0"/>
        <w:autoSpaceDN w:val="0"/>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八、</w:t>
      </w:r>
      <w:r>
        <w:rPr>
          <w:rFonts w:hint="eastAsia" w:ascii="黑体" w:hAnsi="黑体" w:eastAsia="黑体"/>
          <w:sz w:val="32"/>
          <w:szCs w:val="32"/>
        </w:rPr>
        <w:t>关于预算绩效情况说明</w:t>
      </w:r>
    </w:p>
    <w:p>
      <w:pPr>
        <w:adjustRightInd w:val="0"/>
        <w:snapToGrid w:val="0"/>
        <w:spacing w:line="360" w:lineRule="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lang w:eastAsia="zh-CN"/>
        </w:rPr>
        <w:t>郏县审计局</w:t>
      </w:r>
      <w:r>
        <w:rPr>
          <w:rFonts w:hint="eastAsia" w:ascii="仿宋_GB2312" w:hAnsi="宋体" w:eastAsia="仿宋_GB2312" w:cs="Courier New"/>
          <w:sz w:val="32"/>
          <w:szCs w:val="32"/>
          <w:lang w:val="en-US" w:eastAsia="zh-CN"/>
        </w:rPr>
        <w:t>2016年度一般公共预算无项目支出，未开展绩效自评。</w:t>
      </w:r>
    </w:p>
    <w:p>
      <w:pPr>
        <w:adjustRightInd w:val="0"/>
        <w:snapToGrid w:val="0"/>
        <w:spacing w:line="360" w:lineRule="auto"/>
        <w:ind w:left="640"/>
        <w:outlineLvl w:val="1"/>
        <w:rPr>
          <w:rFonts w:ascii="黑体" w:hAnsi="黑体" w:eastAsia="黑体"/>
          <w:sz w:val="32"/>
          <w:szCs w:val="32"/>
        </w:rPr>
      </w:pPr>
      <w:r>
        <w:rPr>
          <w:rFonts w:hint="eastAsia" w:ascii="黑体" w:hAnsi="黑体" w:eastAsia="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郏县审计局2016年度无政府性基金预算支出。</w:t>
      </w:r>
    </w:p>
    <w:p>
      <w:pPr>
        <w:adjustRightInd w:val="0"/>
        <w:snapToGrid w:val="0"/>
        <w:spacing w:line="360" w:lineRule="auto"/>
        <w:ind w:left="640"/>
        <w:outlineLvl w:val="1"/>
        <w:rPr>
          <w:rFonts w:ascii="黑体" w:hAnsi="黑体" w:eastAsia="黑体"/>
          <w:sz w:val="32"/>
          <w:szCs w:val="32"/>
        </w:rPr>
      </w:pPr>
      <w:r>
        <w:rPr>
          <w:rFonts w:hint="eastAsia" w:ascii="黑体" w:hAnsi="黑体" w:eastAsia="黑体"/>
          <w:sz w:val="32"/>
          <w:szCs w:val="32"/>
        </w:rPr>
        <w:t>十、其他重要事项的情况说明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2016年度机关运行经费支出184.05万元。比2015年增加</w:t>
      </w:r>
      <w:r>
        <w:rPr>
          <w:rFonts w:hint="eastAsia" w:ascii="仿宋_GB2312" w:hAnsi="宋体" w:eastAsia="仿宋_GB2312" w:cs="Courier New"/>
          <w:sz w:val="32"/>
          <w:szCs w:val="32"/>
          <w:lang w:val="en-US" w:eastAsia="zh-CN"/>
        </w:rPr>
        <w:t>161.95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632.81</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2016年度无政府采购支出。</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6</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年期末，我局共有一般公务用车1辆；单价50万元以上专用设备2套，分别为视频会商系统和计算机审计数据采集中心设备。</w:t>
      </w:r>
    </w:p>
    <w:p>
      <w:pPr>
        <w:kinsoku w:val="0"/>
        <w:overflowPunct w:val="0"/>
        <w:autoSpaceDE w:val="0"/>
        <w:autoSpaceDN w:val="0"/>
        <w:adjustRightInd w:val="0"/>
        <w:snapToGrid w:val="0"/>
        <w:spacing w:line="360" w:lineRule="auto"/>
        <w:ind w:firstLine="420" w:firstLineChars="200"/>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3" w:usb1="00000000" w:usb2="00000000" w:usb3="00000000" w:csb0="00000021" w:csb1="002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3" w:usb1="00000000" w:usb2="00000000" w:usb3="00000000" w:csb0="20000001" w:csb1="000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- 17 -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nsid w:val="00000006"/>
    <w:multiLevelType w:val="singleLevel"/>
    <w:tmpl w:val="00000006"/>
    <w:lvl w:ilvl="0" w:tentative="1">
      <w:start w:val="2"/>
      <w:numFmt w:val="chineseCounting"/>
      <w:suff w:val="nothing"/>
      <w:lvlText w:val="%1、"/>
      <w:lvlJc w:val="left"/>
    </w:lvl>
  </w:abstractNum>
  <w:abstractNum w:abstractNumId="7">
    <w:nsid w:val="00000007"/>
    <w:multiLevelType w:val="singleLevel"/>
    <w:tmpl w:val="00000007"/>
    <w:lvl w:ilvl="0" w:tentative="1">
      <w:start w:val="1"/>
      <w:numFmt w:val="decimal"/>
      <w:suff w:val="nothing"/>
      <w:lvlText w:val="%1．"/>
      <w:lvlJc w:val="left"/>
      <w:pPr>
        <w:ind w:left="0" w:firstLine="400"/>
      </w:pPr>
      <w:rPr>
        <w:rFonts w:hint="default"/>
      </w:rPr>
    </w:lvl>
  </w:abstractNum>
  <w:abstractNum w:abstractNumId="8">
    <w:nsid w:val="00000008"/>
    <w:multiLevelType w:val="singleLevel"/>
    <w:tmpl w:val="00000008"/>
    <w:lvl w:ilvl="0" w:tentative="1">
      <w:start w:val="1"/>
      <w:numFmt w:val="chineseCounting"/>
      <w:suff w:val="nothing"/>
      <w:lvlText w:val="%1、"/>
      <w:lvlJc w:val="left"/>
    </w:lvl>
  </w:abstractNum>
  <w:abstractNum w:abstractNumId="13">
    <w:nsid w:val="0000000D"/>
    <w:multiLevelType w:val="singleLevel"/>
    <w:tmpl w:val="0000000D"/>
    <w:lvl w:ilvl="0" w:tentative="1">
      <w:start w:val="1"/>
      <w:numFmt w:val="chineseCounting"/>
      <w:suff w:val="nothing"/>
      <w:lvlText w:val="（%1）"/>
      <w:lvlJc w:val="left"/>
      <w:pPr>
        <w:ind w:left="0" w:firstLine="420"/>
      </w:pPr>
      <w:rPr>
        <w:rFonts w:hint="eastAsia"/>
      </w:rPr>
    </w:lvl>
  </w:abstractNum>
  <w:abstractNum w:abstractNumId="14">
    <w:nsid w:val="0000000E"/>
    <w:multiLevelType w:val="singleLevel"/>
    <w:tmpl w:val="0000000E"/>
    <w:lvl w:ilvl="0" w:tentative="1">
      <w:start w:val="1"/>
      <w:numFmt w:val="decimal"/>
      <w:suff w:val="nothing"/>
      <w:lvlText w:val="%1、"/>
      <w:lvlJc w:val="left"/>
    </w:lvl>
  </w:abstractNum>
  <w:abstractNum w:abstractNumId="15">
    <w:nsid w:val="0000000F"/>
    <w:multiLevelType w:val="singleLevel"/>
    <w:tmpl w:val="0000000F"/>
    <w:lvl w:ilvl="0" w:tentative="1">
      <w:start w:val="1"/>
      <w:numFmt w:val="decimal"/>
      <w:suff w:val="nothing"/>
      <w:lvlText w:val="%1．"/>
      <w:lvlJc w:val="left"/>
      <w:pPr>
        <w:ind w:left="0" w:firstLine="400"/>
      </w:pPr>
      <w:rPr>
        <w:rFonts w:hint="default"/>
      </w:rPr>
    </w:lvl>
  </w:abstractNum>
  <w:abstractNum w:abstractNumId="16">
    <w:nsid w:val="00000010"/>
    <w:multiLevelType w:val="singleLevel"/>
    <w:tmpl w:val="00000010"/>
    <w:lvl w:ilvl="0" w:tentative="1">
      <w:start w:val="1"/>
      <w:numFmt w:val="chineseCounting"/>
      <w:suff w:val="nothing"/>
      <w:lvlText w:val="%1、"/>
      <w:lvlJc w:val="left"/>
      <w:pPr>
        <w:ind w:left="0" w:firstLine="420"/>
      </w:pPr>
      <w:rPr>
        <w:rFonts w:hint="eastAsia"/>
      </w:rPr>
    </w:lvl>
  </w:abstractNum>
  <w:abstractNum w:abstractNumId="18">
    <w:nsid w:val="00000012"/>
    <w:multiLevelType w:val="singleLevel"/>
    <w:tmpl w:val="00000012"/>
    <w:lvl w:ilvl="0" w:tentative="1">
      <w:start w:val="1"/>
      <w:numFmt w:val="chineseCounting"/>
      <w:suff w:val="nothing"/>
      <w:lvlText w:val="（%1）"/>
      <w:lvlJc w:val="left"/>
      <w:pPr>
        <w:ind w:left="0" w:firstLine="420"/>
      </w:pPr>
      <w:rPr>
        <w:rFonts w:hint="eastAsia"/>
      </w:rPr>
    </w:lvl>
  </w:abstractNum>
  <w:abstractNum w:abstractNumId="19">
    <w:nsid w:val="00000013"/>
    <w:multiLevelType w:val="singleLevel"/>
    <w:tmpl w:val="00000013"/>
    <w:lvl w:ilvl="0" w:tentative="1">
      <w:start w:val="1"/>
      <w:numFmt w:val="chineseCounting"/>
      <w:suff w:val="nothing"/>
      <w:lvlText w:val="（%1）"/>
      <w:lvlJc w:val="left"/>
      <w:pPr>
        <w:ind w:left="0" w:firstLine="420"/>
      </w:pPr>
      <w:rPr>
        <w:rFonts w:hint="eastAsia"/>
      </w:rPr>
    </w:lvl>
  </w:abstractNum>
  <w:abstractNum w:abstractNumId="20">
    <w:nsid w:val="00000014"/>
    <w:multiLevelType w:val="singleLevel"/>
    <w:tmpl w:val="00000014"/>
    <w:lvl w:ilvl="0" w:tentative="1">
      <w:start w:val="1"/>
      <w:numFmt w:val="chineseCounting"/>
      <w:suff w:val="nothing"/>
      <w:lvlText w:val="%1、"/>
      <w:lvlJc w:val="left"/>
      <w:pPr>
        <w:ind w:left="0" w:firstLine="420"/>
      </w:pPr>
      <w:rPr>
        <w:rFonts w:hint="eastAsia"/>
      </w:rPr>
    </w:lvl>
  </w:abstractNum>
  <w:num w:numId="1">
    <w:abstractNumId w:val="8"/>
  </w:num>
  <w:num w:numId="2">
    <w:abstractNumId w:val="20"/>
  </w:num>
  <w:num w:numId="3">
    <w:abstractNumId w:val="6"/>
  </w:num>
  <w:num w:numId="4">
    <w:abstractNumId w:val="7"/>
  </w:num>
  <w:num w:numId="5">
    <w:abstractNumId w:val="16"/>
  </w:num>
  <w:num w:numId="6">
    <w:abstractNumId w:val="18"/>
  </w:num>
  <w:num w:numId="7">
    <w:abstractNumId w:val="14"/>
  </w:num>
  <w:num w:numId="8">
    <w:abstractNumId w:val="13"/>
  </w:num>
  <w:num w:numId="9">
    <w:abstractNumId w:val="15"/>
  </w:num>
  <w:num w:numId="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6">
    <w:name w:val="Default Paragraph Font"/>
  </w:style>
  <w:style w:type="paragraph" w:styleId="2">
    <w:name w:val="批注框文本"/>
    <w:basedOn w:val="1"/>
    <w:link w:val="3"/>
    <w:rPr>
      <w:rFonts w:ascii="Calibri" w:hAnsi="Calibri" w:cs="黑体"/>
      <w:kern w:val="2"/>
      <w:sz w:val="18"/>
      <w:szCs w:val="18"/>
    </w:rPr>
  </w:style>
  <w:style w:type="character" w:customStyle="1" w:styleId="3">
    <w:name w:val="批注框文本 Char"/>
    <w:link w:val="2"/>
    <w:semiHidden/>
    <w:rPr>
      <w:rFonts w:ascii="Calibri" w:hAnsi="Calibri" w:cs="黑体"/>
      <w:kern w:val="2"/>
      <w:sz w:val="18"/>
      <w:szCs w:val="18"/>
    </w:rPr>
  </w:style>
  <w:style w:type="paragraph" w:styleId="4">
    <w:name w:val="footer"/>
    <w:basedOn w:val="1"/>
    <w:pPr>
      <w:tabs>
        <w:tab w:val="center" w:pos="4153"/>
        <w:tab w:val="right" w:pos="8306"/>
      </w:tabs>
      <w:snapToGrid w:val="0"/>
      <w:jc w:val="left"/>
    </w:pPr>
    <w:rPr>
      <w:sz w:val="18"/>
    </w:rPr>
  </w:style>
  <w:style w:type="paragraph" w:styleId="5">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31"/>
    <w:rPr>
      <w:rFonts w:ascii="Arial" w:hAnsi="Arial" w:cs="Arial"/>
      <w:color w:val="000000"/>
      <w:sz w:val="16"/>
      <w:szCs w:val="16"/>
      <w:u w:val="none"/>
    </w:rPr>
  </w:style>
  <w:style w:type="character" w:customStyle="1" w:styleId="8">
    <w:name w:val="font01"/>
    <w:rPr>
      <w:rFonts w:hint="default" w:ascii="Arial" w:hAnsi="Arial" w:cs="Arial"/>
      <w:color w:val="000000"/>
      <w:sz w:val="16"/>
      <w:szCs w:val="16"/>
      <w:u w:val="none"/>
    </w:rPr>
  </w:style>
  <w:style w:type="character" w:customStyle="1" w:styleId="9">
    <w:name w:val="font41"/>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1432</Words>
  <Characters>8163</Characters>
  <Lines>68</Lines>
  <Paragraphs>19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wsj</dc:creator>
  <cp:lastPrinted>2017-11-17T08:12:00Z</cp:lastPrinted>
  <dcterms:modified xsi:type="dcterms:W3CDTF">2017-11-17T10:21:30Z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