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郏县</w:t>
      </w:r>
      <w:r>
        <w:rPr>
          <w:rFonts w:hint="eastAsia"/>
          <w:sz w:val="44"/>
          <w:szCs w:val="44"/>
        </w:rPr>
        <w:t>201</w:t>
      </w:r>
      <w:r>
        <w:rPr>
          <w:rFonts w:hint="eastAsia"/>
          <w:sz w:val="44"/>
          <w:szCs w:val="44"/>
          <w:lang w:val="en-US" w:eastAsia="zh-CN"/>
        </w:rPr>
        <w:t>8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eastAsia="zh-CN"/>
        </w:rPr>
        <w:t>转移支付</w:t>
      </w:r>
      <w:r>
        <w:rPr>
          <w:rFonts w:hint="eastAsia"/>
          <w:sz w:val="44"/>
          <w:szCs w:val="44"/>
        </w:rPr>
        <w:t>情况说明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201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年我县共收到上级提前预告转移支付资金12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9616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万元，其中：</w:t>
      </w:r>
    </w:p>
    <w:p>
      <w:pPr>
        <w:numPr>
          <w:ilvl w:val="0"/>
          <w:numId w:val="1"/>
        </w:numPr>
        <w:ind w:firstLine="42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一般公共预算转移支付资金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129089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万元包括：返还性收入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9062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万元、一般性转移支付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92385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万元、专项转移支付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27642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万元。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二、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政府性基金转移支付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527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万元。</w:t>
      </w:r>
    </w:p>
    <w:p>
      <w:pPr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按照预算完整性要求，上级提前预告转移支付资金12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9616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万元按照资金性质、应列科目全部列入201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年度预算。</w:t>
      </w:r>
    </w:p>
    <w:sectPr>
      <w:pgSz w:w="11906" w:h="16838"/>
      <w:pgMar w:top="1100" w:right="1519" w:bottom="1100" w:left="1519" w:header="851" w:footer="992" w:gutter="0"/>
      <w:cols w:space="720" w:num="1"/>
      <w:rtlGutter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">
    <w:nsid w:val="00000009"/>
    <w:multiLevelType w:val="singleLevel"/>
    <w:tmpl w:val="00000009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2017-04-28T23:31:00Z</dcterms:created>
  <dc:creator>Administrator</dc:creator>
  <dcterms:modified xsi:type="dcterms:W3CDTF">2018-04-22T15:46:39Z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