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郏县</w:t>
      </w: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举借债务和</w:t>
      </w:r>
      <w:r>
        <w:rPr>
          <w:rFonts w:hint="eastAsia"/>
          <w:sz w:val="44"/>
          <w:szCs w:val="44"/>
        </w:rPr>
        <w:t>限额</w:t>
      </w:r>
      <w:r>
        <w:rPr>
          <w:rFonts w:hint="eastAsia"/>
          <w:sz w:val="44"/>
          <w:szCs w:val="44"/>
          <w:lang w:eastAsia="zh-CN"/>
        </w:rPr>
        <w:t>管理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2017年我县地方政府债务系统新增债务26068万元（均为省财政厅发行的政府债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券），其中：置换债券17568万元，新增债券8500万元。具体使用情况如下：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一、置换债券资金17568万元，用于置换以下存量债务：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1.偿还2017年到期的债务本金7367万元，其中:财政局1767万元、城投公司600万元、土储中心5000万元。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2.偿还以前年度逾期债务5500万元，是县一高以前年度或有债务转政府债务后，用2017年置换债券偿还的债务。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3.提前置换2018年到期债务4701万元，其中：公安局306万元，我县在市土储中心借款4395万元。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二、新增债券资金8500万元，分别用于：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1.百城建设提质工程项目4078万元；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2.数字化城市建设项目1000万元；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3.北汝河治理项目2000万元。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4.扶贫项目800万元。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5.博物馆及三苏园建设项目513万元。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6.一高校舍建设项目109万元。</w:t>
      </w:r>
    </w:p>
    <w:p>
      <w:pPr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底，我县政府债务66505万元，其中：一般债务45030万元，专项债务21475万元。省财政厅核定我县2017年末政府债务限额为104500万元，其中：一般债务45100万元，专项债务59400万元。我县政府债务总额及分项均在省厅核定的限额内。</w:t>
      </w:r>
    </w:p>
    <w:sectPr>
      <w:pgSz w:w="11906" w:h="16838"/>
      <w:pgMar w:top="986" w:right="1463" w:bottom="986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17DE"/>
    <w:rsid w:val="05CB6436"/>
    <w:rsid w:val="10B3686A"/>
    <w:rsid w:val="6BEE17DE"/>
    <w:rsid w:val="74862FF3"/>
    <w:rsid w:val="7DAF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2017-04-27T01:40:00Z</dcterms:created>
  <dc:creator>Administrator</dc:creator>
  <cp:lastModifiedBy>晴</cp:lastModifiedBy>
  <dcterms:modified xsi:type="dcterms:W3CDTF">2018-02-23T01:28:41Z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