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ind w:firstLine="3120" w:firstLineChars="600"/>
        <w:rPr>
          <w:rFonts w:ascii="仿宋_GB2312" w:hAnsi="仿宋_GB2312" w:eastAsia="仿宋_GB2312" w:cs="Times New Roman"/>
          <w:sz w:val="44"/>
          <w:szCs w:val="44"/>
        </w:rPr>
      </w:pPr>
      <w:r>
        <w:rPr>
          <w:rFonts w:hint="eastAsia" w:ascii="隶书" w:hAnsi="隶书" w:eastAsia="隶书" w:cs="隶书"/>
          <w:sz w:val="52"/>
          <w:szCs w:val="52"/>
        </w:rPr>
        <w:t>郏县招商局</w:t>
      </w:r>
    </w:p>
    <w:p>
      <w:pPr>
        <w:jc w:val="center"/>
        <w:rPr>
          <w:rFonts w:ascii="黑体" w:hAnsi="黑体" w:eastAsia="黑体" w:cs="Times New Roman"/>
          <w:sz w:val="52"/>
          <w:szCs w:val="52"/>
        </w:rPr>
      </w:pPr>
    </w:p>
    <w:p>
      <w:pPr>
        <w:jc w:val="center"/>
        <w:rPr>
          <w:rFonts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start="1"/>
          <w:cols w:space="72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郏县招商局概况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郏县招商局</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郏县招商局</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cs="Times New Roman"/>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cs="Times New Roman"/>
        </w:rPr>
        <w:sectPr>
          <w:footerReference r:id="rId10" w:type="default"/>
          <w:pgSz w:w="11906" w:h="16838"/>
          <w:pgMar w:top="1440" w:right="1531" w:bottom="1440" w:left="1587" w:header="850" w:footer="992" w:gutter="0"/>
          <w:pgNumType w:fmt="numberInDash" w:start="1"/>
          <w:cols w:space="720" w:num="1"/>
          <w:docGrid w:type="lines" w:linePitch="317" w:charSpace="0"/>
        </w:sectPr>
      </w:pPr>
      <w:r>
        <w:rPr>
          <w:rFonts w:hint="eastAsia" w:ascii="隶书" w:hAnsi="隶书" w:eastAsia="隶书" w:cs="隶书"/>
          <w:sz w:val="48"/>
          <w:szCs w:val="48"/>
        </w:rPr>
        <w:t>第一部分　　郏县招商局概况</w:t>
      </w:r>
    </w:p>
    <w:p>
      <w:pPr>
        <w:numPr>
          <w:ilvl w:val="0"/>
          <w:numId w:val="2"/>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ind w:left="420" w:firstLine="640" w:firstLineChars="200"/>
        <w:jc w:val="left"/>
        <w:rPr>
          <w:rFonts w:ascii="宋体" w:cs="Times New Roman"/>
          <w:sz w:val="32"/>
          <w:szCs w:val="32"/>
        </w:rPr>
      </w:pPr>
      <w:r>
        <w:rPr>
          <w:rFonts w:hint="eastAsia" w:ascii="宋体" w:hAnsi="宋体" w:cs="宋体"/>
          <w:sz w:val="32"/>
          <w:szCs w:val="32"/>
        </w:rPr>
        <w:t>郏县招商局隶属郏县人民政府，为全县的招商引资、对外开放工作服务。招商引资工作方案的制定，对外开放、招商引资有关政策的起草，招商引资项目库的建立，招商项目的筛选、整理、发布及论证，招商项目的组织实施及监督管理，重大活动和其他外出招商引资活动的统一组织和安排，对外来客商的联络、接待，外来投资者行政审批手续的办理，招商引资项目的跟踪服务，与各乡镇、局委签订招商引资工作目标责任制，招商引资情况的汇总，信息的收集、整理、发布本县籍在外人员的联系，外商直接投资项目扩大出口创汇。</w:t>
      </w:r>
    </w:p>
    <w:p>
      <w:pPr>
        <w:spacing w:line="360" w:lineRule="auto"/>
        <w:jc w:val="left"/>
        <w:rPr>
          <w:rFonts w:ascii="仿宋_GB2312" w:hAnsi="仿宋_GB2312" w:eastAsia="仿宋_GB2312" w:cs="Times New Roman"/>
          <w:sz w:val="32"/>
          <w:szCs w:val="32"/>
        </w:rPr>
      </w:pPr>
    </w:p>
    <w:p>
      <w:pPr>
        <w:numPr>
          <w:ilvl w:val="0"/>
          <w:numId w:val="3"/>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纳入郏县招商局</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cs="Times New Roman"/>
        </w:rPr>
        <w:sectPr>
          <w:pgSz w:w="11906" w:h="16838"/>
          <w:pgMar w:top="1440" w:right="1531" w:bottom="1440" w:left="1587" w:header="850" w:footer="992" w:gutter="0"/>
          <w:pgNumType w:fmt="numberInDash"/>
          <w:cols w:space="720" w:num="1"/>
          <w:docGrid w:type="lines" w:linePitch="317" w:charSpace="0"/>
        </w:sectPr>
      </w:pPr>
      <w:r>
        <w:rPr>
          <w:rFonts w:hint="eastAsia" w:ascii="仿宋_GB2312" w:hAnsi="仿宋_GB2312" w:eastAsia="仿宋_GB2312" w:cs="仿宋_GB2312"/>
          <w:sz w:val="32"/>
          <w:szCs w:val="32"/>
        </w:rPr>
        <w:t>郏县招商局本级</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cs="Times New Roman"/>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rPr>
        <w:t>郏县招商局</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5"/>
        <w:tblW w:w="10350" w:type="dxa"/>
        <w:tblInd w:w="-13"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Times New Roman"/>
                <w:color w:val="000000"/>
                <w:sz w:val="16"/>
                <w:szCs w:val="16"/>
              </w:rPr>
            </w:pP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ind w:right="440" w:firstLine="1100" w:firstLineChars="500"/>
              <w:rPr>
                <w:rFonts w:ascii="宋体" w:cs="Times New Roman"/>
                <w:color w:val="000000"/>
                <w:sz w:val="22"/>
              </w:rPr>
            </w:pPr>
            <w:r>
              <w:rPr>
                <w:color w:val="000000"/>
                <w:sz w:val="22"/>
                <w:szCs w:val="22"/>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163.38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152.23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10.00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rFonts w:hint="eastAsia" w:cs="宋体"/>
                <w:color w:val="000000"/>
                <w:sz w:val="22"/>
                <w:szCs w:val="22"/>
              </w:rPr>
              <w:t>　</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10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ind w:right="220"/>
              <w:jc w:val="right"/>
              <w:rPr>
                <w:rFonts w:ascii="宋体" w:cs="Times New Roman"/>
                <w:color w:val="000000"/>
                <w:sz w:val="22"/>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173.38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162.23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r>
              <w:rPr>
                <w:color w:val="000000"/>
                <w:sz w:val="22"/>
                <w:szCs w:val="22"/>
              </w:rPr>
              <w:t>1.85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13</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175.23</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175.23</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cs="Times New Roman"/>
        </w:rPr>
        <w:sectPr>
          <w:pgSz w:w="11906" w:h="16838"/>
          <w:pgMar w:top="720" w:right="720" w:bottom="720" w:left="720" w:header="851" w:footer="992" w:gutter="0"/>
          <w:pgNumType w:fmt="numberInDash"/>
          <w:cols w:space="720" w:num="1"/>
          <w:docGrid w:type="lines" w:linePitch="312" w:charSpace="0"/>
        </w:sectPr>
      </w:pPr>
    </w:p>
    <w:tbl>
      <w:tblPr>
        <w:tblStyle w:val="5"/>
        <w:tblW w:w="10337" w:type="dxa"/>
        <w:tblInd w:w="-13"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173.38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163.38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10.00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color w:val="000000"/>
                <w:kern w:val="0"/>
                <w:sz w:val="16"/>
                <w:szCs w:val="16"/>
              </w:rPr>
              <w:t>163.38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color w:val="000000"/>
                <w:kern w:val="0"/>
                <w:sz w:val="16"/>
                <w:szCs w:val="16"/>
              </w:rPr>
              <w:t>163.38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商贸事务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163.38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163.38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招商引资</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114.00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114.00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229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其他支出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22999</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其他支出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2299901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cs="Times New Roman"/>
        </w:rPr>
        <w:sectPr>
          <w:pgSz w:w="11906" w:h="16838"/>
          <w:pgMar w:top="720" w:right="720" w:bottom="720" w:left="720" w:header="850" w:footer="992" w:gutter="0"/>
          <w:pgNumType w:fmt="numberInDash"/>
          <w:cols w:space="720" w:num="1"/>
          <w:docGrid w:type="lines" w:linePitch="317" w:charSpace="0"/>
        </w:sectPr>
      </w:pPr>
    </w:p>
    <w:tbl>
      <w:tblPr>
        <w:tblStyle w:val="5"/>
        <w:tblW w:w="10350" w:type="dxa"/>
        <w:tblInd w:w="-13"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162.23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59.34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102.89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color w:val="000000"/>
                <w:kern w:val="0"/>
                <w:sz w:val="16"/>
                <w:szCs w:val="16"/>
              </w:rPr>
              <w:t>152.23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color w:val="000000"/>
                <w:kern w:val="0"/>
                <w:sz w:val="16"/>
                <w:szCs w:val="16"/>
              </w:rPr>
              <w:t>49.34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商贸事务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152.23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招商引资</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229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其他支出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22999</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其他支出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2299901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152.23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商贸事务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152.23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49.34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招商引资</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cs="宋体"/>
                <w:color w:val="000000"/>
                <w:kern w:val="0"/>
                <w:sz w:val="16"/>
                <w:szCs w:val="16"/>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102.89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cs="Times New Roman"/>
        </w:rPr>
        <w:sectPr>
          <w:pgSz w:w="11906" w:h="16838"/>
          <w:pgMar w:top="720" w:right="720" w:bottom="720" w:left="720" w:header="850" w:footer="992" w:gutter="0"/>
          <w:pgNumType w:fmt="numberInDash"/>
          <w:cols w:space="720" w:num="1"/>
          <w:docGrid w:type="lines" w:linePitch="318" w:charSpace="0"/>
        </w:sectPr>
      </w:pPr>
    </w:p>
    <w:tbl>
      <w:tblPr>
        <w:tblStyle w:val="5"/>
        <w:tblW w:w="10425" w:type="dxa"/>
        <w:tblInd w:w="-13"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163.38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152.23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152.23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163.38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152.23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152.23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1.85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13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13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1.85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165.23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165.23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165.23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405" w:hRule="atLeast"/>
        </w:trPr>
        <w:tc>
          <w:tcPr>
            <w:tcW w:w="10425"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Style w:val="5"/>
        <w:tblW w:w="10440" w:type="dxa"/>
        <w:tblInd w:w="-13"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152.23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49.34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102.89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152.23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49.34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49.34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2011308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left"/>
              <w:textAlignment w:val="center"/>
              <w:rPr>
                <w:rFonts w:ascii="宋体" w:cs="Times New Roman"/>
                <w:color w:val="000000"/>
                <w:sz w:val="16"/>
                <w:szCs w:val="16"/>
              </w:rPr>
            </w:pPr>
            <w:r>
              <w:rPr>
                <w:rFonts w:hint="eastAsia" w:ascii="宋体" w:hAnsi="宋体" w:cs="宋体"/>
                <w:color w:val="000000"/>
                <w:sz w:val="16"/>
                <w:szCs w:val="16"/>
              </w:rPr>
              <w:t>招商引资</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sz w:val="16"/>
                <w:szCs w:val="16"/>
              </w:rPr>
              <w:t>102.89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sz w:val="16"/>
                <w:szCs w:val="16"/>
              </w:rPr>
              <w:t>102.89</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8"/>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cs="Times New Roman"/>
        </w:rPr>
        <w:sectPr>
          <w:pgSz w:w="11906" w:h="16838"/>
          <w:pgMar w:top="720" w:right="720" w:bottom="720" w:left="720" w:header="850" w:footer="992" w:gutter="0"/>
          <w:pgNumType w:fmt="numberInDash"/>
          <w:cols w:space="72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33.10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16.24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13.88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2.59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17.45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1.78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0.03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0.08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9.85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1.15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0.04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2.50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77" w:hRule="atLeast"/>
        </w:trPr>
        <w:tc>
          <w:tcPr>
            <w:tcW w:w="10485"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cs="Times New Roman"/>
        </w:rPr>
        <w:sectPr>
          <w:pgSz w:w="11906" w:h="16838"/>
          <w:pgMar w:top="720" w:right="720" w:bottom="720" w:left="720" w:header="850" w:footer="992" w:gutter="0"/>
          <w:pgNumType w:fmt="numberInDash"/>
          <w:cols w:space="72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blPrEx>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4</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2.5</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1.5</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4</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2.5</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2.5</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1.5</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cs="Times New Roman"/>
        </w:rPr>
        <w:sectPr>
          <w:pgSz w:w="11906" w:h="16838"/>
          <w:pgMar w:top="720" w:right="720" w:bottom="720" w:left="720" w:header="850" w:footer="992" w:gutter="0"/>
          <w:pgNumType w:fmt="numberInDash"/>
          <w:cols w:space="720" w:num="1"/>
          <w:docGrid w:type="lines" w:linePitch="317" w:charSpace="0"/>
        </w:sectPr>
      </w:pPr>
    </w:p>
    <w:tbl>
      <w:tblPr>
        <w:tblStyle w:val="5"/>
        <w:tblW w:w="10500" w:type="dxa"/>
        <w:tblInd w:w="-13"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（该报表全部数据为零时）说明：郏县招商局没有政府性基金收入，也没有使用政府性基金安排的支出，故本表无数据。</w:t>
            </w:r>
          </w:p>
        </w:tc>
      </w:tr>
    </w:tbl>
    <w:p>
      <w:pPr>
        <w:spacing w:line="360" w:lineRule="auto"/>
        <w:jc w:val="center"/>
        <w:rPr>
          <w:rFonts w:cs="Times New Roman"/>
        </w:rPr>
        <w:sectPr>
          <w:pgSz w:w="11906" w:h="16838"/>
          <w:pgMar w:top="720" w:right="720" w:bottom="720" w:left="720" w:header="850" w:footer="992" w:gutter="0"/>
          <w:pgNumType w:fmt="numberInDash"/>
          <w:cols w:space="72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ascii="隶书" w:hAnsi="隶书" w:eastAsia="隶书" w:cs="Times New Roman"/>
          <w:sz w:val="48"/>
          <w:szCs w:val="48"/>
        </w:rPr>
      </w:pPr>
      <w:r>
        <w:rPr>
          <w:rFonts w:hint="eastAsia" w:ascii="隶书" w:hAnsi="隶书" w:eastAsia="隶书" w:cs="隶书"/>
          <w:sz w:val="48"/>
          <w:szCs w:val="48"/>
        </w:rPr>
        <w:t>郏县招商局</w:t>
      </w:r>
    </w:p>
    <w:p>
      <w:pPr>
        <w:jc w:val="center"/>
        <w:rPr>
          <w:rFonts w:cs="Times New Roman"/>
        </w:rPr>
        <w:sectPr>
          <w:pgSz w:w="11906" w:h="16838"/>
          <w:pgMar w:top="1440" w:right="1531" w:bottom="1440" w:left="1587" w:header="850" w:footer="992" w:gutter="0"/>
          <w:pgNumType w:fmt="numberInDash"/>
          <w:cols w:space="72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ascii="仿宋_GB2312" w:hAnsi="宋体" w:eastAsia="仿宋_GB2312" w:cs="仿宋_GB2312"/>
          <w:sz w:val="32"/>
          <w:szCs w:val="32"/>
        </w:rPr>
        <w:t>173.38</w:t>
      </w:r>
      <w:r>
        <w:rPr>
          <w:rFonts w:hint="eastAsia" w:ascii="仿宋_GB2312" w:hAnsi="宋体" w:eastAsia="仿宋_GB2312" w:cs="仿宋_GB2312"/>
          <w:sz w:val="32"/>
          <w:szCs w:val="32"/>
        </w:rPr>
        <w:t>万元，支出总计</w:t>
      </w:r>
      <w:r>
        <w:rPr>
          <w:rFonts w:ascii="仿宋_GB2312" w:hAnsi="宋体" w:eastAsia="仿宋_GB2312" w:cs="仿宋_GB2312"/>
          <w:sz w:val="32"/>
          <w:szCs w:val="32"/>
        </w:rPr>
        <w:t>162.23</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年相比，收入减少</w:t>
      </w:r>
      <w:r>
        <w:rPr>
          <w:rFonts w:ascii="仿宋_GB2312" w:hAnsi="宋体" w:eastAsia="仿宋_GB2312" w:cs="仿宋_GB2312"/>
          <w:sz w:val="32"/>
          <w:szCs w:val="32"/>
        </w:rPr>
        <w:t>47.35</w:t>
      </w:r>
      <w:r>
        <w:rPr>
          <w:rFonts w:hint="eastAsia" w:ascii="仿宋_GB2312" w:hAnsi="宋体" w:eastAsia="仿宋_GB2312" w:cs="仿宋_GB2312"/>
          <w:sz w:val="32"/>
          <w:szCs w:val="32"/>
        </w:rPr>
        <w:t>万元，下降</w:t>
      </w:r>
      <w:r>
        <w:rPr>
          <w:rFonts w:ascii="仿宋_GB2312" w:hAnsi="宋体" w:eastAsia="仿宋_GB2312" w:cs="仿宋_GB2312"/>
          <w:sz w:val="32"/>
          <w:szCs w:val="32"/>
        </w:rPr>
        <w:t>21.4%</w:t>
      </w:r>
      <w:r>
        <w:rPr>
          <w:rFonts w:hint="eastAsia" w:ascii="仿宋_GB2312" w:hAnsi="宋体" w:eastAsia="仿宋_GB2312" w:cs="仿宋_GB2312"/>
          <w:sz w:val="32"/>
          <w:szCs w:val="32"/>
        </w:rPr>
        <w:t>；支出减少</w:t>
      </w:r>
      <w:r>
        <w:rPr>
          <w:rFonts w:ascii="仿宋_GB2312" w:hAnsi="宋体" w:eastAsia="仿宋_GB2312" w:cs="仿宋_GB2312"/>
          <w:sz w:val="32"/>
          <w:szCs w:val="32"/>
        </w:rPr>
        <w:t>74.83</w:t>
      </w:r>
      <w:r>
        <w:rPr>
          <w:rFonts w:hint="eastAsia" w:ascii="仿宋_GB2312" w:hAnsi="宋体" w:eastAsia="仿宋_GB2312" w:cs="仿宋_GB2312"/>
          <w:sz w:val="32"/>
          <w:szCs w:val="32"/>
        </w:rPr>
        <w:t>万元，下降</w:t>
      </w:r>
      <w:r>
        <w:rPr>
          <w:rFonts w:ascii="仿宋_GB2312" w:hAnsi="宋体" w:eastAsia="仿宋_GB2312" w:cs="仿宋_GB2312"/>
          <w:sz w:val="32"/>
          <w:szCs w:val="32"/>
        </w:rPr>
        <w:t>31.5%</w:t>
      </w:r>
      <w:r>
        <w:rPr>
          <w:rFonts w:hint="eastAsia" w:ascii="仿宋_GB2312" w:hAnsi="宋体" w:eastAsia="仿宋_GB2312" w:cs="仿宋_GB2312"/>
          <w:sz w:val="32"/>
          <w:szCs w:val="32"/>
        </w:rPr>
        <w:t>，原因为招商引资工作经费支出减少。</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ascii="仿宋_GB2312" w:hAnsi="Times New Roman" w:eastAsia="仿宋_GB2312" w:cs="仿宋_GB2312"/>
          <w:sz w:val="32"/>
          <w:szCs w:val="32"/>
        </w:rPr>
        <w:t>173.38</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163.38</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94.3%</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5.7%</w:t>
      </w:r>
      <w:r>
        <w:rPr>
          <w:rFonts w:hint="eastAsia" w:ascii="仿宋_GB2312" w:hAnsi="Times New Roman" w:eastAsia="仿宋_GB2312" w:cs="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ascii="仿宋_GB2312" w:hAnsi="宋体" w:eastAsia="仿宋_GB2312" w:cs="仿宋_GB2312"/>
          <w:sz w:val="32"/>
          <w:szCs w:val="32"/>
        </w:rPr>
        <w:t>162.23</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59.34</w:t>
      </w:r>
      <w:r>
        <w:rPr>
          <w:rFonts w:hint="eastAsia" w:ascii="仿宋_GB2312" w:hAnsi="宋体" w:eastAsia="仿宋_GB2312" w:cs="仿宋_GB2312"/>
          <w:sz w:val="32"/>
          <w:szCs w:val="32"/>
        </w:rPr>
        <w:t>万元，占</w:t>
      </w:r>
      <w:r>
        <w:rPr>
          <w:rFonts w:ascii="仿宋_GB2312" w:hAnsi="宋体" w:eastAsia="仿宋_GB2312" w:cs="仿宋_GB2312"/>
          <w:sz w:val="32"/>
          <w:szCs w:val="32"/>
        </w:rPr>
        <w:t>36.58%</w:t>
      </w:r>
      <w:r>
        <w:rPr>
          <w:rFonts w:hint="eastAsia" w:ascii="仿宋_GB2312" w:hAnsi="宋体" w:eastAsia="仿宋_GB2312" w:cs="仿宋_GB2312"/>
          <w:sz w:val="32"/>
          <w:szCs w:val="32"/>
        </w:rPr>
        <w:t>；项目支出</w:t>
      </w:r>
      <w:r>
        <w:rPr>
          <w:rFonts w:ascii="仿宋_GB2312" w:hAnsi="宋体" w:eastAsia="仿宋_GB2312" w:cs="仿宋_GB2312"/>
          <w:sz w:val="32"/>
          <w:szCs w:val="32"/>
        </w:rPr>
        <w:t>102.89</w:t>
      </w:r>
      <w:r>
        <w:rPr>
          <w:rFonts w:hint="eastAsia" w:ascii="仿宋_GB2312" w:hAnsi="宋体" w:eastAsia="仿宋_GB2312" w:cs="仿宋_GB2312"/>
          <w:sz w:val="32"/>
          <w:szCs w:val="32"/>
        </w:rPr>
        <w:t>万元，占</w:t>
      </w:r>
      <w:r>
        <w:rPr>
          <w:rFonts w:ascii="仿宋_GB2312" w:hAnsi="宋体" w:eastAsia="仿宋_GB2312" w:cs="仿宋_GB2312"/>
          <w:sz w:val="32"/>
          <w:szCs w:val="32"/>
        </w:rPr>
        <w:t>63.42%</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年财政拨款收入总决算</w:t>
      </w:r>
      <w:r>
        <w:rPr>
          <w:rFonts w:ascii="仿宋_GB2312" w:hAnsi="宋体" w:eastAsia="仿宋_GB2312" w:cs="仿宋_GB2312"/>
          <w:sz w:val="32"/>
          <w:szCs w:val="32"/>
        </w:rPr>
        <w:t>163.38</w:t>
      </w:r>
      <w:r>
        <w:rPr>
          <w:rFonts w:hint="eastAsia" w:ascii="仿宋_GB2312" w:hAnsi="宋体" w:eastAsia="仿宋_GB2312" w:cs="仿宋_GB2312"/>
          <w:sz w:val="32"/>
          <w:szCs w:val="32"/>
        </w:rPr>
        <w:t>万元，</w:t>
      </w:r>
      <w:r>
        <w:rPr>
          <w:rFonts w:ascii="仿宋_GB2312" w:hAnsi="宋体" w:eastAsia="仿宋_GB2312" w:cs="仿宋_GB2312"/>
          <w:sz w:val="32"/>
          <w:szCs w:val="32"/>
        </w:rPr>
        <w:t>2015</w:t>
      </w:r>
      <w:r>
        <w:rPr>
          <w:rFonts w:hint="eastAsia" w:ascii="仿宋_GB2312" w:hAnsi="宋体" w:eastAsia="仿宋_GB2312" w:cs="仿宋_GB2312"/>
          <w:sz w:val="32"/>
          <w:szCs w:val="32"/>
        </w:rPr>
        <w:t>年财政拨款收入总决算</w:t>
      </w:r>
      <w:r>
        <w:rPr>
          <w:rFonts w:ascii="仿宋_GB2312" w:hAnsi="宋体" w:eastAsia="仿宋_GB2312" w:cs="仿宋_GB2312"/>
          <w:sz w:val="32"/>
          <w:szCs w:val="32"/>
        </w:rPr>
        <w:t>220.73</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年相比，减少</w:t>
      </w:r>
      <w:r>
        <w:rPr>
          <w:rFonts w:ascii="仿宋_GB2312" w:hAnsi="宋体" w:eastAsia="仿宋_GB2312" w:cs="仿宋_GB2312"/>
          <w:sz w:val="32"/>
          <w:szCs w:val="32"/>
        </w:rPr>
        <w:t>21.4%</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年财政拨款支出总决算</w:t>
      </w:r>
      <w:r>
        <w:rPr>
          <w:rFonts w:ascii="仿宋_GB2312" w:hAnsi="宋体" w:eastAsia="仿宋_GB2312" w:cs="仿宋_GB2312"/>
          <w:sz w:val="32"/>
          <w:szCs w:val="32"/>
        </w:rPr>
        <w:t>152.23</w:t>
      </w:r>
      <w:r>
        <w:rPr>
          <w:rFonts w:hint="eastAsia" w:ascii="仿宋_GB2312" w:hAnsi="宋体" w:eastAsia="仿宋_GB2312" w:cs="仿宋_GB2312"/>
          <w:sz w:val="32"/>
          <w:szCs w:val="32"/>
        </w:rPr>
        <w:t>万元，</w:t>
      </w:r>
      <w:r>
        <w:rPr>
          <w:rFonts w:ascii="仿宋_GB2312" w:hAnsi="宋体" w:eastAsia="仿宋_GB2312" w:cs="仿宋_GB2312"/>
          <w:sz w:val="32"/>
          <w:szCs w:val="32"/>
        </w:rPr>
        <w:t>2015</w:t>
      </w:r>
      <w:r>
        <w:rPr>
          <w:rFonts w:hint="eastAsia" w:ascii="仿宋_GB2312" w:hAnsi="宋体" w:eastAsia="仿宋_GB2312" w:cs="仿宋_GB2312"/>
          <w:sz w:val="32"/>
          <w:szCs w:val="32"/>
        </w:rPr>
        <w:t>年财政拨款支出总决算</w:t>
      </w:r>
      <w:r>
        <w:rPr>
          <w:rFonts w:ascii="仿宋_GB2312" w:hAnsi="宋体" w:eastAsia="仿宋_GB2312" w:cs="仿宋_GB2312"/>
          <w:sz w:val="32"/>
          <w:szCs w:val="32"/>
        </w:rPr>
        <w:t>237.06</w:t>
      </w:r>
      <w:r>
        <w:rPr>
          <w:rFonts w:hint="eastAsia" w:ascii="仿宋_GB2312" w:hAnsi="宋体" w:eastAsia="仿宋_GB2312" w:cs="仿宋_GB2312"/>
          <w:sz w:val="32"/>
          <w:szCs w:val="32"/>
        </w:rPr>
        <w:t>万元</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年相比，减少</w:t>
      </w:r>
      <w:r>
        <w:rPr>
          <w:rFonts w:ascii="仿宋_GB2312" w:hAnsi="宋体" w:eastAsia="仿宋_GB2312" w:cs="仿宋_GB2312"/>
          <w:sz w:val="32"/>
          <w:szCs w:val="32"/>
        </w:rPr>
        <w:t>35.8%</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ascii="仿宋_GB2312" w:hAnsi="宋体" w:eastAsia="仿宋_GB2312" w:cs="仿宋_GB2312"/>
          <w:sz w:val="32"/>
          <w:szCs w:val="32"/>
        </w:rPr>
        <w:t>152.23</w:t>
      </w:r>
      <w:r>
        <w:rPr>
          <w:rFonts w:hint="eastAsia" w:ascii="仿宋_GB2312" w:hAnsi="宋体" w:eastAsia="仿宋_GB2312" w:cs="仿宋_GB2312"/>
          <w:sz w:val="32"/>
          <w:szCs w:val="32"/>
        </w:rPr>
        <w:t>万元，占支出合计的</w:t>
      </w:r>
      <w:r>
        <w:rPr>
          <w:rFonts w:ascii="仿宋_GB2312" w:hAnsi="宋体" w:eastAsia="仿宋_GB2312" w:cs="仿宋_GB2312"/>
          <w:sz w:val="32"/>
          <w:szCs w:val="32"/>
        </w:rPr>
        <w:t>93.8%</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年相比，一般公共预算财政拨款支出增减少</w:t>
      </w:r>
      <w:r>
        <w:rPr>
          <w:rFonts w:ascii="仿宋_GB2312" w:hAnsi="宋体" w:eastAsia="仿宋_GB2312" w:cs="仿宋_GB2312"/>
          <w:sz w:val="32"/>
          <w:szCs w:val="32"/>
        </w:rPr>
        <w:t>84.83</w:t>
      </w:r>
      <w:r>
        <w:rPr>
          <w:rFonts w:hint="eastAsia" w:ascii="仿宋_GB2312" w:hAnsi="宋体" w:eastAsia="仿宋_GB2312" w:cs="仿宋_GB2312"/>
          <w:sz w:val="32"/>
          <w:szCs w:val="32"/>
        </w:rPr>
        <w:t>万元，下降</w:t>
      </w:r>
      <w:r>
        <w:rPr>
          <w:rFonts w:ascii="仿宋_GB2312" w:hAnsi="宋体" w:eastAsia="仿宋_GB2312" w:cs="仿宋_GB2312"/>
          <w:sz w:val="32"/>
          <w:szCs w:val="32"/>
        </w:rPr>
        <w:t>35.8%</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ascii="仿宋_GB2312" w:hAnsi="宋体" w:eastAsia="仿宋_GB2312" w:cs="仿宋_GB2312"/>
          <w:sz w:val="32"/>
          <w:szCs w:val="32"/>
        </w:rPr>
        <w:t>152.23</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一般公共服务（类）</w:t>
      </w:r>
      <w:r>
        <w:rPr>
          <w:rFonts w:hint="eastAsia" w:ascii="仿宋_GB2312" w:hAnsi="宋体" w:eastAsia="仿宋_GB2312" w:cs="仿宋_GB2312"/>
          <w:sz w:val="32"/>
          <w:szCs w:val="32"/>
        </w:rPr>
        <w:t>支出</w:t>
      </w:r>
      <w:r>
        <w:rPr>
          <w:rFonts w:ascii="仿宋_GB2312" w:hAnsi="宋体" w:eastAsia="仿宋_GB2312" w:cs="仿宋_GB2312"/>
          <w:sz w:val="32"/>
          <w:szCs w:val="32"/>
        </w:rPr>
        <w:t>152.23</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widowControl/>
        <w:spacing w:line="345" w:lineRule="atLeast"/>
        <w:ind w:right="150"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ascii="仿宋_GB2312" w:hAnsi="宋体" w:eastAsia="仿宋_GB2312" w:cs="仿宋_GB2312"/>
          <w:sz w:val="32"/>
          <w:szCs w:val="32"/>
        </w:rPr>
        <w:t>55.1</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152.23</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176%</w:t>
      </w:r>
      <w:r>
        <w:rPr>
          <w:rFonts w:hint="eastAsia" w:ascii="仿宋_GB2312" w:hAnsi="宋体" w:eastAsia="仿宋_GB2312" w:cs="仿宋_GB2312"/>
          <w:sz w:val="32"/>
          <w:szCs w:val="32"/>
        </w:rPr>
        <w:t>。决算数大于预算数的主要原因：</w:t>
      </w:r>
      <w:r>
        <w:rPr>
          <w:rFonts w:hint="eastAsia" w:ascii="仿宋_GB2312" w:hAnsi="仿宋" w:eastAsia="仿宋_GB2312" w:cs="仿宋_GB2312"/>
          <w:kern w:val="0"/>
          <w:sz w:val="32"/>
          <w:szCs w:val="32"/>
        </w:rPr>
        <w:t>因招商引资工作需要追加临时经费</w:t>
      </w:r>
      <w:r>
        <w:rPr>
          <w:rFonts w:ascii="仿宋_GB2312" w:hAnsi="仿宋" w:eastAsia="仿宋_GB2312" w:cs="仿宋_GB2312"/>
          <w:kern w:val="0"/>
          <w:sz w:val="32"/>
          <w:szCs w:val="32"/>
        </w:rPr>
        <w:t>97.13</w:t>
      </w:r>
      <w:r>
        <w:rPr>
          <w:rFonts w:hint="eastAsia" w:ascii="仿宋_GB2312" w:hAnsi="仿宋" w:eastAsia="仿宋_GB2312" w:cs="仿宋_GB2312"/>
          <w:kern w:val="0"/>
          <w:sz w:val="32"/>
          <w:szCs w:val="32"/>
        </w:rPr>
        <w:t>万元，均为财政拨入的一般公共预算。</w:t>
      </w:r>
    </w:p>
    <w:p>
      <w:pPr>
        <w:numPr>
          <w:ilvl w:val="0"/>
          <w:numId w:val="7"/>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一般公共服务（类）商贸事务（款）事业运行（项）。</w:t>
      </w:r>
    </w:p>
    <w:p>
      <w:pPr>
        <w:adjustRightInd w:val="0"/>
        <w:snapToGrid w:val="0"/>
        <w:spacing w:line="360" w:lineRule="auto"/>
        <w:ind w:left="420" w:leftChars="200" w:firstLine="640" w:firstLineChars="200"/>
        <w:rPr>
          <w:rFonts w:ascii="仿宋_GB2312" w:hAnsi="宋体" w:eastAsia="仿宋_GB2312" w:cs="Times New Roman"/>
          <w:b/>
          <w:bCs/>
          <w:sz w:val="32"/>
          <w:szCs w:val="32"/>
        </w:rPr>
      </w:pPr>
      <w:r>
        <w:rPr>
          <w:rFonts w:hint="eastAsia" w:ascii="仿宋_GB2312" w:hAnsi="宋体" w:eastAsia="仿宋_GB2312" w:cs="仿宋_GB2312"/>
          <w:sz w:val="32"/>
          <w:szCs w:val="32"/>
        </w:rPr>
        <w:t>年初预算为</w:t>
      </w:r>
      <w:r>
        <w:rPr>
          <w:rFonts w:ascii="仿宋_GB2312" w:hAnsi="宋体" w:eastAsia="仿宋_GB2312" w:cs="仿宋_GB2312"/>
          <w:sz w:val="32"/>
          <w:szCs w:val="32"/>
        </w:rPr>
        <w:t>55.1</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49.34</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10.5%</w:t>
      </w:r>
      <w:r>
        <w:rPr>
          <w:rFonts w:hint="eastAsia" w:ascii="仿宋_GB2312" w:hAnsi="宋体" w:eastAsia="仿宋_GB2312" w:cs="仿宋_GB2312"/>
          <w:sz w:val="32"/>
          <w:szCs w:val="32"/>
        </w:rPr>
        <w:t>。决算数小于预算数的主要原因是人员减少。</w:t>
      </w:r>
    </w:p>
    <w:p>
      <w:pPr>
        <w:numPr>
          <w:ilvl w:val="0"/>
          <w:numId w:val="7"/>
        </w:numPr>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一般公共服务（类）商贸事物（款）招商引资（项）。</w:t>
      </w:r>
    </w:p>
    <w:p>
      <w:pPr>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年初预算为</w:t>
      </w:r>
      <w:r>
        <w:rPr>
          <w:rFonts w:ascii="仿宋_GB2312" w:hAnsi="宋体" w:eastAsia="仿宋_GB2312" w:cs="仿宋_GB2312"/>
          <w:sz w:val="32"/>
          <w:szCs w:val="32"/>
        </w:rPr>
        <w:t>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102.89</w:t>
      </w:r>
      <w:r>
        <w:rPr>
          <w:rFonts w:hint="eastAsia" w:ascii="仿宋_GB2312" w:hAnsi="宋体" w:eastAsia="仿宋_GB2312" w:cs="仿宋_GB2312"/>
          <w:sz w:val="32"/>
          <w:szCs w:val="32"/>
        </w:rPr>
        <w:t>万元。决算数大于预算数的主要原因是</w:t>
      </w:r>
      <w:r>
        <w:rPr>
          <w:rFonts w:hint="eastAsia" w:ascii="仿宋_GB2312" w:hAnsi="仿宋" w:eastAsia="仿宋_GB2312" w:cs="仿宋_GB2312"/>
          <w:kern w:val="0"/>
          <w:sz w:val="32"/>
          <w:szCs w:val="32"/>
        </w:rPr>
        <w:t>招商引资工作需要追加临时经费</w:t>
      </w:r>
      <w:r>
        <w:rPr>
          <w:rFonts w:hint="eastAsia" w:ascii="仿宋_GB2312" w:hAnsi="宋体" w:eastAsia="仿宋_GB2312" w:cs="仿宋_GB2312"/>
          <w:sz w:val="32"/>
          <w:szCs w:val="32"/>
        </w:rPr>
        <w:t>。</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ascii="仿宋_GB2312" w:hAnsi="宋体" w:eastAsia="仿宋_GB2312" w:cs="仿宋_GB2312"/>
          <w:sz w:val="32"/>
          <w:szCs w:val="32"/>
        </w:rPr>
        <w:t>49.34</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ascii="仿宋_GB2312" w:hAnsi="Times New Roman" w:eastAsia="仿宋_GB2312" w:cs="仿宋_GB2312"/>
          <w:spacing w:val="-1"/>
          <w:kern w:val="0"/>
          <w:sz w:val="32"/>
          <w:szCs w:val="32"/>
        </w:rPr>
        <w:t>33.1</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，主要包括：基本工资、津贴补贴、其他社会保障缴费；</w:t>
      </w:r>
      <w:r>
        <w:rPr>
          <w:rFonts w:hint="eastAsia" w:ascii="仿宋_GB2312" w:hAnsi="Times New Roman" w:eastAsia="仿宋_GB2312" w:cs="仿宋_GB2312"/>
          <w:b/>
          <w:bCs/>
          <w:spacing w:val="-1"/>
          <w:kern w:val="0"/>
          <w:sz w:val="32"/>
          <w:szCs w:val="32"/>
        </w:rPr>
        <w:t>公用经费</w:t>
      </w:r>
      <w:r>
        <w:rPr>
          <w:rFonts w:ascii="仿宋_GB2312" w:hAnsi="Times New Roman" w:eastAsia="仿宋_GB2312" w:cs="仿宋_GB2312"/>
          <w:spacing w:val="-2"/>
          <w:kern w:val="0"/>
          <w:sz w:val="32"/>
          <w:szCs w:val="32"/>
        </w:rPr>
        <w:t>16.24</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，主要包括：办公费、手续费、邮电费、差旅费、会议费、培训费、公车运行维护费。</w:t>
      </w:r>
    </w:p>
    <w:p>
      <w:pPr>
        <w:numPr>
          <w:ilvl w:val="0"/>
          <w:numId w:val="5"/>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ascii="仿宋_GB2312" w:hAnsi="宋体" w:eastAsia="仿宋_GB2312" w:cs="仿宋_GB2312"/>
          <w:sz w:val="32"/>
          <w:szCs w:val="32"/>
        </w:rPr>
        <w:t>4</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4</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，其中：因公出国（境）费支出决算为</w:t>
      </w:r>
      <w:r>
        <w:rPr>
          <w:rFonts w:ascii="仿宋_GB2312" w:hAnsi="宋体" w:eastAsia="仿宋_GB2312" w:cs="仿宋_GB2312"/>
          <w:sz w:val="32"/>
          <w:szCs w:val="32"/>
        </w:rPr>
        <w:t>0</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；公务用车购置及运行费支出决算为</w:t>
      </w:r>
      <w:r>
        <w:rPr>
          <w:rFonts w:ascii="仿宋_GB2312" w:hAnsi="宋体" w:eastAsia="仿宋_GB2312" w:cs="仿宋_GB2312"/>
          <w:sz w:val="32"/>
          <w:szCs w:val="32"/>
        </w:rPr>
        <w:t>2.5</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；公务接待费支出决算为</w:t>
      </w:r>
      <w:r>
        <w:rPr>
          <w:rFonts w:ascii="仿宋_GB2312" w:hAnsi="宋体" w:eastAsia="仿宋_GB2312" w:cs="仿宋_GB2312"/>
          <w:sz w:val="32"/>
          <w:szCs w:val="32"/>
        </w:rPr>
        <w:t>1.5</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b/>
          <w:bCs/>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万元，增长</w:t>
      </w:r>
      <w:r>
        <w:rPr>
          <w:rFonts w:ascii="仿宋_GB2312" w:hAnsi="宋体" w:eastAsia="仿宋_GB2312" w:cs="仿宋_GB2312"/>
          <w:sz w:val="32"/>
          <w:szCs w:val="32"/>
        </w:rPr>
        <w:t>92.8%</w:t>
      </w:r>
      <w:r>
        <w:rPr>
          <w:rFonts w:hint="eastAsia" w:ascii="仿宋_GB2312" w:hAnsi="宋体" w:eastAsia="仿宋_GB2312" w:cs="仿宋_GB2312"/>
          <w:sz w:val="32"/>
          <w:szCs w:val="32"/>
        </w:rPr>
        <w:t>，公务接待费支出决算增加</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。郏县招商局</w:t>
      </w:r>
      <w:r>
        <w:rPr>
          <w:rFonts w:ascii="仿宋_GB2312" w:hAnsi="宋体" w:eastAsia="仿宋_GB2312" w:cs="仿宋_GB2312"/>
          <w:sz w:val="32"/>
          <w:szCs w:val="32"/>
        </w:rPr>
        <w:t>2016</w:t>
      </w:r>
      <w:r>
        <w:rPr>
          <w:rFonts w:hint="eastAsia" w:ascii="仿宋_GB2312" w:hAnsi="宋体" w:eastAsia="仿宋_GB2312" w:cs="仿宋_GB2312"/>
          <w:sz w:val="32"/>
          <w:szCs w:val="32"/>
        </w:rPr>
        <w:t>年度共接待国内来访团组</w:t>
      </w:r>
      <w:r>
        <w:rPr>
          <w:rFonts w:ascii="仿宋_GB2312" w:hAnsi="宋体" w:eastAsia="仿宋_GB2312" w:cs="仿宋_GB2312"/>
          <w:sz w:val="32"/>
          <w:szCs w:val="32"/>
        </w:rPr>
        <w:t>32</w:t>
      </w:r>
      <w:r>
        <w:rPr>
          <w:rFonts w:hint="eastAsia" w:ascii="仿宋_GB2312" w:hAnsi="宋体" w:eastAsia="仿宋_GB2312" w:cs="仿宋_GB2312"/>
          <w:sz w:val="32"/>
          <w:szCs w:val="32"/>
        </w:rPr>
        <w:t>个、来访人员</w:t>
      </w:r>
      <w:r>
        <w:rPr>
          <w:rFonts w:ascii="仿宋_GB2312" w:hAnsi="宋体" w:eastAsia="仿宋_GB2312" w:cs="仿宋_GB2312"/>
          <w:sz w:val="32"/>
          <w:szCs w:val="32"/>
        </w:rPr>
        <w:t>211</w:t>
      </w:r>
      <w:r>
        <w:rPr>
          <w:rFonts w:hint="eastAsia" w:ascii="仿宋_GB2312" w:hAnsi="宋体" w:eastAsia="仿宋_GB2312" w:cs="仿宋_GB2312"/>
          <w:sz w:val="32"/>
          <w:szCs w:val="32"/>
        </w:rPr>
        <w:t>人次（不包括陪同人员）。</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公务接待费支出增加的主要原因是我县加强了对外招商力度，主要用于接待招商引资客商来访、外出招商的各类公务活动接待支出。</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0%</w:t>
      </w:r>
      <w:r>
        <w:rPr>
          <w:rFonts w:hint="eastAsia" w:ascii="仿宋_GB2312" w:hAnsi="宋体" w:eastAsia="仿宋_GB2312" w:cs="仿宋_GB2312"/>
          <w:sz w:val="32"/>
          <w:szCs w:val="32"/>
        </w:rPr>
        <w:t>；公务用车购置及运行费支出决算</w:t>
      </w:r>
      <w:r>
        <w:rPr>
          <w:rFonts w:ascii="仿宋_GB2312" w:hAnsi="宋体" w:eastAsia="仿宋_GB2312" w:cs="仿宋_GB2312"/>
          <w:sz w:val="32"/>
          <w:szCs w:val="32"/>
        </w:rPr>
        <w:t>2.5</w:t>
      </w:r>
      <w:r>
        <w:rPr>
          <w:rFonts w:hint="eastAsia" w:ascii="仿宋_GB2312" w:hAnsi="宋体" w:eastAsia="仿宋_GB2312" w:cs="仿宋_GB2312"/>
          <w:sz w:val="32"/>
          <w:szCs w:val="32"/>
        </w:rPr>
        <w:t>万元，占</w:t>
      </w:r>
      <w:r>
        <w:rPr>
          <w:rFonts w:ascii="仿宋_GB2312" w:hAnsi="宋体" w:eastAsia="仿宋_GB2312" w:cs="仿宋_GB2312"/>
          <w:sz w:val="32"/>
          <w:szCs w:val="32"/>
        </w:rPr>
        <w:t>1.6%</w:t>
      </w:r>
      <w:r>
        <w:rPr>
          <w:rFonts w:hint="eastAsia" w:ascii="仿宋_GB2312" w:hAnsi="宋体" w:eastAsia="仿宋_GB2312" w:cs="仿宋_GB2312"/>
          <w:sz w:val="32"/>
          <w:szCs w:val="32"/>
        </w:rPr>
        <w:t>，无公车购置费用，车辆保有辆</w:t>
      </w:r>
      <w:r>
        <w:rPr>
          <w:rFonts w:ascii="仿宋_GB2312" w:hAnsi="宋体" w:eastAsia="仿宋_GB2312" w:cs="仿宋_GB2312"/>
          <w:sz w:val="32"/>
          <w:szCs w:val="32"/>
        </w:rPr>
        <w:t>1</w:t>
      </w:r>
      <w:r>
        <w:rPr>
          <w:rFonts w:hint="eastAsia" w:ascii="仿宋_GB2312" w:hAnsi="宋体" w:eastAsia="仿宋_GB2312" w:cs="仿宋_GB2312"/>
          <w:sz w:val="32"/>
          <w:szCs w:val="32"/>
        </w:rPr>
        <w:t>辆；公务接待费支出决算</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5</w:t>
      </w:r>
      <w:bookmarkStart w:id="0" w:name="_GoBack"/>
      <w:bookmarkEnd w:id="0"/>
      <w:r>
        <w:rPr>
          <w:rFonts w:hint="eastAsia" w:ascii="仿宋_GB2312" w:hAnsi="宋体" w:eastAsia="仿宋_GB2312" w:cs="仿宋_GB2312"/>
          <w:sz w:val="32"/>
          <w:szCs w:val="32"/>
        </w:rPr>
        <w:t>万元，占</w:t>
      </w:r>
      <w:r>
        <w:rPr>
          <w:rFonts w:ascii="仿宋_GB2312" w:hAnsi="宋体" w:eastAsia="仿宋_GB2312" w:cs="仿宋_GB2312"/>
          <w:sz w:val="32"/>
          <w:szCs w:val="32"/>
        </w:rPr>
        <w:t>0.9%</w:t>
      </w:r>
      <w:r>
        <w:rPr>
          <w:rFonts w:hint="eastAsia" w:ascii="仿宋_GB2312" w:hAnsi="宋体" w:eastAsia="仿宋_GB2312" w:cs="仿宋_GB2312"/>
          <w:sz w:val="32"/>
          <w:szCs w:val="32"/>
        </w:rPr>
        <w:t>。</w:t>
      </w:r>
    </w:p>
    <w:p>
      <w:pPr>
        <w:adjustRightInd w:val="0"/>
        <w:snapToGrid w:val="0"/>
        <w:spacing w:line="360" w:lineRule="auto"/>
        <w:ind w:left="420" w:leftChars="200"/>
        <w:outlineLvl w:val="1"/>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八、关于预算绩效情况说明</w:t>
      </w:r>
    </w:p>
    <w:p>
      <w:pPr>
        <w:adjustRightInd w:val="0"/>
        <w:snapToGrid w:val="0"/>
        <w:spacing w:line="360" w:lineRule="auto"/>
        <w:outlineLvl w:val="1"/>
        <w:rPr>
          <w:rFonts w:ascii="楷体_GB2312" w:hAnsi="楷体_GB2312" w:eastAsia="楷体_GB2312" w:cs="Times New Roman"/>
          <w:sz w:val="32"/>
          <w:szCs w:val="32"/>
        </w:rPr>
      </w:pPr>
      <w:r>
        <w:rPr>
          <w:rFonts w:ascii="楷体_GB2312" w:hAnsi="楷体_GB2312" w:eastAsia="楷体_GB2312" w:cs="楷体_GB2312"/>
          <w:sz w:val="32"/>
          <w:szCs w:val="32"/>
        </w:rPr>
        <w:t xml:space="preserve">     2016</w:t>
      </w:r>
      <w:r>
        <w:rPr>
          <w:rFonts w:hint="eastAsia" w:ascii="楷体_GB2312" w:hAnsi="楷体_GB2312" w:eastAsia="楷体_GB2312" w:cs="楷体_GB2312"/>
          <w:sz w:val="32"/>
          <w:szCs w:val="32"/>
        </w:rPr>
        <w:t>年未开展绩效管理工作。</w:t>
      </w:r>
    </w:p>
    <w:p>
      <w:pPr>
        <w:adjustRightInd w:val="0"/>
        <w:snapToGrid w:val="0"/>
        <w:spacing w:line="360" w:lineRule="auto"/>
        <w:ind w:left="420" w:leftChars="200"/>
        <w:outlineLvl w:val="1"/>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九、关于政府性基金预算财政拨款支出决算情况说明</w:t>
      </w:r>
    </w:p>
    <w:p>
      <w:pPr>
        <w:adjustRightInd w:val="0"/>
        <w:snapToGrid w:val="0"/>
        <w:spacing w:line="360" w:lineRule="auto"/>
        <w:outlineLvl w:val="1"/>
        <w:rPr>
          <w:rFonts w:ascii="楷体_GB2312" w:hAnsi="楷体_GB2312" w:eastAsia="楷体_GB2312" w:cs="Times New Roman"/>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郏县招商局</w:t>
      </w:r>
      <w:r>
        <w:rPr>
          <w:rFonts w:ascii="楷体_GB2312" w:hAnsi="楷体_GB2312" w:eastAsia="楷体_GB2312" w:cs="楷体_GB2312"/>
          <w:sz w:val="32"/>
          <w:szCs w:val="32"/>
        </w:rPr>
        <w:t>2016</w:t>
      </w:r>
      <w:r>
        <w:rPr>
          <w:rFonts w:hint="eastAsia" w:ascii="楷体_GB2312" w:hAnsi="楷体_GB2312" w:eastAsia="楷体_GB2312" w:cs="楷体_GB2312"/>
          <w:sz w:val="32"/>
          <w:szCs w:val="32"/>
        </w:rPr>
        <w:t>年无政府性基金预算。</w:t>
      </w:r>
    </w:p>
    <w:p>
      <w:pPr>
        <w:adjustRightInd w:val="0"/>
        <w:snapToGrid w:val="0"/>
        <w:spacing w:line="360" w:lineRule="auto"/>
        <w:ind w:left="420" w:leftChars="200"/>
        <w:outlineLvl w:val="1"/>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十、其他重要事项的情况说明</w:t>
      </w:r>
    </w:p>
    <w:p>
      <w:pPr>
        <w:kinsoku w:val="0"/>
        <w:overflowPunct w:val="0"/>
        <w:autoSpaceDE w:val="0"/>
        <w:autoSpaceDN w:val="0"/>
        <w:adjustRightInd w:val="0"/>
        <w:snapToGrid w:val="0"/>
        <w:spacing w:line="360" w:lineRule="auto"/>
        <w:ind w:left="420" w:leftChars="200"/>
        <w:rPr>
          <w:rFonts w:ascii="楷体_GB2312" w:hAnsi="Times New Roman" w:eastAsia="楷体_GB2312" w:cs="Times New Roman"/>
          <w:kern w:val="0"/>
          <w:sz w:val="32"/>
          <w:szCs w:val="32"/>
        </w:rPr>
      </w:pPr>
      <w:r>
        <w:rPr>
          <w:rFonts w:ascii="楷体_GB2312" w:hAnsi="Times New Roman" w:eastAsia="楷体_GB2312" w:cs="楷体_GB2312"/>
          <w:kern w:val="0"/>
          <w:sz w:val="32"/>
          <w:szCs w:val="32"/>
        </w:rPr>
        <w:t xml:space="preserve">  </w:t>
      </w:r>
      <w:r>
        <w:rPr>
          <w:rFonts w:hint="eastAsia" w:ascii="楷体_GB2312" w:hAnsi="Times New Roman" w:eastAsia="楷体_GB2312" w:cs="楷体_GB2312"/>
          <w:kern w:val="0"/>
          <w:sz w:val="32"/>
          <w:szCs w:val="32"/>
        </w:rPr>
        <w:t>（一）</w:t>
      </w:r>
      <w:r>
        <w:rPr>
          <w:rFonts w:ascii="楷体_GB2312" w:hAnsi="Times New Roman" w:eastAsia="楷体_GB2312" w:cs="楷体_GB2312"/>
          <w:kern w:val="0"/>
          <w:sz w:val="32"/>
          <w:szCs w:val="32"/>
        </w:rPr>
        <w:t xml:space="preserve"> </w:t>
      </w:r>
      <w:r>
        <w:rPr>
          <w:rFonts w:hint="eastAsia" w:ascii="楷体_GB2312" w:hAnsi="Times New Roman" w:eastAsia="楷体_GB2312" w:cs="楷体_GB2312"/>
          <w:kern w:val="0"/>
          <w:sz w:val="32"/>
          <w:szCs w:val="32"/>
        </w:rPr>
        <w:t>机关运行经费支出情况。</w:t>
      </w:r>
    </w:p>
    <w:p>
      <w:pPr>
        <w:adjustRightInd w:val="0"/>
        <w:snapToGrid w:val="0"/>
        <w:spacing w:line="360" w:lineRule="auto"/>
        <w:ind w:left="420" w:leftChars="200"/>
        <w:outlineLvl w:val="1"/>
        <w:rPr>
          <w:rFonts w:ascii="黑体" w:hAnsi="黑体" w:eastAsia="黑体" w:cs="Times New Roman"/>
          <w:sz w:val="32"/>
          <w:szCs w:val="32"/>
        </w:rPr>
      </w:pPr>
      <w:r>
        <w:rPr>
          <w:rFonts w:ascii="仿宋_GB2312" w:hAnsi="宋体" w:eastAsia="仿宋_GB2312" w:cs="仿宋_GB2312"/>
          <w:sz w:val="32"/>
          <w:szCs w:val="32"/>
        </w:rPr>
        <w:t xml:space="preserve">   2016</w:t>
      </w:r>
      <w:r>
        <w:rPr>
          <w:rFonts w:hint="eastAsia" w:ascii="仿宋_GB2312" w:hAnsi="宋体" w:eastAsia="仿宋_GB2312" w:cs="仿宋_GB2312"/>
          <w:sz w:val="32"/>
          <w:szCs w:val="32"/>
        </w:rPr>
        <w:t>年度机关运行经费支出</w:t>
      </w:r>
      <w:r>
        <w:rPr>
          <w:rFonts w:ascii="仿宋_GB2312" w:hAnsi="宋体" w:eastAsia="仿宋_GB2312" w:cs="仿宋_GB2312"/>
          <w:sz w:val="32"/>
          <w:szCs w:val="32"/>
        </w:rPr>
        <w:t>162.23</w:t>
      </w:r>
      <w:r>
        <w:rPr>
          <w:rFonts w:hint="eastAsia" w:ascii="仿宋_GB2312" w:hAnsi="宋体" w:eastAsia="仿宋_GB2312" w:cs="仿宋_GB2312"/>
          <w:sz w:val="32"/>
          <w:szCs w:val="32"/>
        </w:rPr>
        <w:t>万元，主要是机关日常费用开支，比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ascii="仿宋_GB2312" w:hAnsi="宋体" w:eastAsia="仿宋_GB2312" w:cs="仿宋_GB2312"/>
          <w:sz w:val="32"/>
          <w:szCs w:val="32"/>
        </w:rPr>
        <w:t>74.83</w:t>
      </w:r>
      <w:r>
        <w:rPr>
          <w:rFonts w:hint="eastAsia" w:ascii="仿宋_GB2312" w:hAnsi="宋体" w:eastAsia="仿宋_GB2312" w:cs="仿宋_GB2312"/>
          <w:sz w:val="32"/>
          <w:szCs w:val="32"/>
        </w:rPr>
        <w:t>万元。下降</w:t>
      </w:r>
      <w:r>
        <w:rPr>
          <w:rFonts w:ascii="仿宋_GB2312" w:hAnsi="宋体" w:eastAsia="仿宋_GB2312" w:cs="仿宋_GB2312"/>
          <w:sz w:val="32"/>
          <w:szCs w:val="32"/>
        </w:rPr>
        <w:t>31.5%</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left="420" w:leftChars="200"/>
        <w:rPr>
          <w:rFonts w:ascii="楷体_GB2312" w:hAnsi="Times New Roman" w:eastAsia="楷体_GB2312" w:cs="Times New Roman"/>
          <w:kern w:val="0"/>
          <w:sz w:val="32"/>
          <w:szCs w:val="32"/>
        </w:rPr>
      </w:pPr>
      <w:r>
        <w:rPr>
          <w:rFonts w:ascii="楷体_GB2312" w:hAnsi="Times New Roman" w:eastAsia="楷体_GB2312" w:cs="楷体_GB2312"/>
          <w:kern w:val="0"/>
          <w:sz w:val="32"/>
          <w:szCs w:val="32"/>
        </w:rPr>
        <w:t xml:space="preserve"> </w:t>
      </w:r>
      <w:r>
        <w:rPr>
          <w:rFonts w:hint="eastAsia" w:ascii="楷体_GB2312" w:hAnsi="Times New Roman" w:eastAsia="楷体_GB2312" w:cs="楷体_GB2312"/>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ascii="仿宋_GB2312" w:hAnsi="宋体" w:eastAsia="仿宋_GB2312" w:cs="仿宋_GB2312"/>
          <w:sz w:val="32"/>
          <w:szCs w:val="32"/>
        </w:rPr>
        <w:t>0.39</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0.39</w:t>
      </w:r>
      <w:r>
        <w:rPr>
          <w:rFonts w:hint="eastAsia" w:ascii="仿宋_GB2312" w:hAnsi="宋体" w:eastAsia="仿宋_GB2312" w:cs="仿宋_GB2312"/>
          <w:sz w:val="32"/>
          <w:szCs w:val="32"/>
        </w:rPr>
        <w:t>万元，占政府采购支出总额的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rPr>
          <w:rFonts w:ascii="楷体_GB2312" w:hAnsi="Times New Roman" w:eastAsia="楷体_GB2312" w:cs="Times New Roman"/>
          <w:kern w:val="0"/>
          <w:sz w:val="32"/>
          <w:szCs w:val="32"/>
        </w:rPr>
      </w:pPr>
      <w:r>
        <w:rPr>
          <w:rFonts w:ascii="楷体_GB2312" w:hAnsi="Times New Roman" w:eastAsia="楷体_GB2312" w:cs="楷体_GB2312"/>
          <w:kern w:val="0"/>
          <w:sz w:val="32"/>
          <w:szCs w:val="32"/>
        </w:rPr>
        <w:t xml:space="preserve">    </w:t>
      </w:r>
      <w:r>
        <w:rPr>
          <w:rFonts w:hint="eastAsia" w:ascii="楷体_GB2312" w:hAnsi="Times New Roman" w:eastAsia="楷体_GB2312" w:cs="楷体_GB2312"/>
          <w:kern w:val="0"/>
          <w:sz w:val="32"/>
          <w:szCs w:val="32"/>
        </w:rPr>
        <w:t>（三）国有资产占用情况。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年期末，郏县招商局共有车辆</w:t>
      </w:r>
      <w:r>
        <w:rPr>
          <w:rFonts w:ascii="仿宋_GB2312" w:hAnsi="宋体" w:eastAsia="仿宋_GB2312" w:cs="仿宋_GB2312"/>
          <w:sz w:val="32"/>
          <w:szCs w:val="32"/>
        </w:rPr>
        <w:t>1</w:t>
      </w:r>
      <w:r>
        <w:rPr>
          <w:rFonts w:hint="eastAsia" w:ascii="仿宋_GB2312" w:hAnsi="宋体" w:eastAsia="仿宋_GB2312" w:cs="仿宋_GB2312"/>
          <w:sz w:val="32"/>
          <w:szCs w:val="32"/>
        </w:rPr>
        <w:t>辆，其中：一般公务用车</w:t>
      </w:r>
      <w:r>
        <w:rPr>
          <w:rFonts w:ascii="仿宋_GB2312" w:hAnsi="宋体" w:eastAsia="仿宋_GB2312" w:cs="仿宋_GB2312"/>
          <w:sz w:val="32"/>
          <w:szCs w:val="32"/>
        </w:rPr>
        <w:t>1</w:t>
      </w:r>
      <w:r>
        <w:rPr>
          <w:rFonts w:hint="eastAsia" w:ascii="仿宋_GB2312" w:hAnsi="宋体" w:eastAsia="仿宋_GB2312" w:cs="仿宋_GB2312"/>
          <w:sz w:val="32"/>
          <w:szCs w:val="32"/>
        </w:rPr>
        <w:t>辆。一般执法执勤用车</w:t>
      </w:r>
      <w:r>
        <w:rPr>
          <w:rFonts w:ascii="仿宋_GB2312" w:hAnsi="宋体" w:eastAsia="仿宋_GB2312" w:cs="仿宋_GB2312"/>
          <w:sz w:val="32"/>
          <w:szCs w:val="32"/>
        </w:rPr>
        <w:t>0</w:t>
      </w:r>
      <w:r>
        <w:rPr>
          <w:rFonts w:hint="eastAsia" w:ascii="仿宋_GB2312" w:hAnsi="宋体" w:eastAsia="仿宋_GB2312" w:cs="仿宋_GB2312"/>
          <w:sz w:val="32"/>
          <w:szCs w:val="32"/>
        </w:rPr>
        <w:t>辆、特种专业技术用车</w:t>
      </w:r>
      <w:r>
        <w:rPr>
          <w:rFonts w:ascii="仿宋_GB2312" w:hAnsi="宋体" w:eastAsia="仿宋_GB2312" w:cs="仿宋_GB2312"/>
          <w:sz w:val="32"/>
          <w:szCs w:val="32"/>
        </w:rPr>
        <w:t>0</w:t>
      </w:r>
      <w:r>
        <w:rPr>
          <w:rFonts w:hint="eastAsia" w:ascii="仿宋_GB2312" w:hAnsi="宋体" w:eastAsia="仿宋_GB2312" w:cs="仿宋_GB2312"/>
          <w:sz w:val="32"/>
          <w:szCs w:val="32"/>
        </w:rPr>
        <w:t>辆，其他用车</w:t>
      </w:r>
      <w:r>
        <w:rPr>
          <w:rFonts w:ascii="仿宋_GB2312" w:hAnsi="宋体" w:eastAsia="仿宋_GB2312" w:cs="仿宋_GB2312"/>
          <w:sz w:val="32"/>
          <w:szCs w:val="32"/>
        </w:rPr>
        <w:t>0</w:t>
      </w:r>
      <w:r>
        <w:rPr>
          <w:rFonts w:hint="eastAsia" w:ascii="仿宋_GB2312" w:hAnsi="宋体" w:eastAsia="仿宋_GB2312" w:cs="仿宋_GB2312"/>
          <w:sz w:val="32"/>
          <w:szCs w:val="32"/>
        </w:rPr>
        <w:t>辆；单价</w:t>
      </w:r>
      <w:r>
        <w:rPr>
          <w:rFonts w:ascii="仿宋_GB2312" w:hAnsi="宋体" w:eastAsia="仿宋_GB2312" w:cs="仿宋_GB2312"/>
          <w:sz w:val="32"/>
          <w:szCs w:val="32"/>
        </w:rPr>
        <w:t>50</w:t>
      </w:r>
      <w:r>
        <w:rPr>
          <w:rFonts w:hint="eastAsia" w:ascii="仿宋_GB2312" w:hAnsi="宋体" w:eastAsia="仿宋_GB2312" w:cs="仿宋_GB2312"/>
          <w:sz w:val="32"/>
          <w:szCs w:val="32"/>
        </w:rPr>
        <w:t>万元以上通用设备</w:t>
      </w:r>
      <w:r>
        <w:rPr>
          <w:rFonts w:ascii="仿宋_GB2312" w:hAnsi="宋体" w:eastAsia="仿宋_GB2312" w:cs="仿宋_GB2312"/>
          <w:sz w:val="32"/>
          <w:szCs w:val="32"/>
        </w:rPr>
        <w:t>0</w:t>
      </w:r>
      <w:r>
        <w:rPr>
          <w:rFonts w:hint="eastAsia" w:ascii="仿宋_GB2312" w:hAnsi="宋体" w:eastAsia="仿宋_GB2312" w:cs="仿宋_GB2312"/>
          <w:sz w:val="32"/>
          <w:szCs w:val="32"/>
        </w:rPr>
        <w:t>台（套），单位价值</w:t>
      </w:r>
      <w:r>
        <w:rPr>
          <w:rFonts w:ascii="仿宋_GB2312" w:hAnsi="宋体" w:eastAsia="仿宋_GB2312" w:cs="仿宋_GB2312"/>
          <w:sz w:val="32"/>
          <w:szCs w:val="32"/>
        </w:rPr>
        <w:t>100</w:t>
      </w:r>
      <w:r>
        <w:rPr>
          <w:rFonts w:hint="eastAsia" w:ascii="仿宋_GB2312" w:hAnsi="宋体" w:eastAsia="仿宋_GB2312" w:cs="仿宋_GB2312"/>
          <w:sz w:val="32"/>
          <w:szCs w:val="32"/>
        </w:rPr>
        <w:t>万元以上专用设备</w:t>
      </w:r>
      <w:r>
        <w:rPr>
          <w:rFonts w:ascii="仿宋_GB2312" w:hAnsi="宋体" w:eastAsia="仿宋_GB2312" w:cs="仿宋_GB2312"/>
          <w:sz w:val="32"/>
          <w:szCs w:val="32"/>
        </w:rPr>
        <w:t>0</w:t>
      </w:r>
      <w:r>
        <w:rPr>
          <w:rFonts w:hint="eastAsia" w:ascii="仿宋_GB2312" w:hAnsi="宋体" w:eastAsia="仿宋_GB2312" w:cs="仿宋_GB2312"/>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420" w:firstLineChars="200"/>
        <w:rPr>
          <w:rFonts w:cs="Times New Roman"/>
        </w:rPr>
        <w:sectPr>
          <w:pgSz w:w="11906" w:h="16838"/>
          <w:pgMar w:top="1440" w:right="1531" w:bottom="1440" w:left="1587" w:header="850" w:footer="992" w:gutter="0"/>
          <w:pgNumType w:fmt="numberInDash"/>
          <w:cols w:space="72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cs="Times New Roman"/>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四、年末结转和结余：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52"/>
          <w:szCs w:val="52"/>
          <w:highlight w:val="yellow"/>
        </w:rPr>
      </w:pPr>
      <w:r>
        <w:rPr>
          <w:rFonts w:hint="eastAsia" w:ascii="仿宋_GB2312" w:hAnsi="宋体" w:eastAsia="仿宋_GB2312" w:cs="仿宋_GB2312"/>
          <w:b/>
          <w:bCs/>
          <w:sz w:val="32"/>
          <w:szCs w:val="32"/>
        </w:rPr>
        <w:t>七、“三公”经费：</w:t>
      </w:r>
      <w:r>
        <w:rPr>
          <w:rFonts w:hint="eastAsia" w:ascii="仿宋_GB2312" w:hAnsi="宋体" w:eastAsia="仿宋_GB2312" w:cs="仿宋_GB2312"/>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531" w:bottom="1440" w:left="1587"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- 19 -</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1）"/>
      <w:lvlJc w:val="left"/>
      <w:pPr>
        <w:ind w:firstLine="420"/>
      </w:pPr>
      <w:rPr>
        <w:rFonts w:hint="eastAsia" w:cs="Times New Roman"/>
      </w:rPr>
    </w:lvl>
  </w:abstractNum>
  <w:abstractNum w:abstractNumId="1">
    <w:nsid w:val="0000000D"/>
    <w:multiLevelType w:val="singleLevel"/>
    <w:tmpl w:val="0000000D"/>
    <w:lvl w:ilvl="0" w:tentative="0">
      <w:start w:val="1"/>
      <w:numFmt w:val="chineseCounting"/>
      <w:suff w:val="nothing"/>
      <w:lvlText w:val="%1、"/>
      <w:lvlJc w:val="left"/>
      <w:pPr>
        <w:ind w:firstLine="420"/>
      </w:pPr>
      <w:rPr>
        <w:rFonts w:hint="eastAsia" w:cs="Times New Roman"/>
      </w:rPr>
    </w:lvl>
  </w:abstractNum>
  <w:abstractNum w:abstractNumId="2">
    <w:nsid w:val="0000000E"/>
    <w:multiLevelType w:val="singleLevel"/>
    <w:tmpl w:val="0000000E"/>
    <w:lvl w:ilvl="0" w:tentative="0">
      <w:start w:val="1"/>
      <w:numFmt w:val="chineseCounting"/>
      <w:suff w:val="nothing"/>
      <w:lvlText w:val="%1、"/>
      <w:lvlJc w:val="left"/>
      <w:pPr>
        <w:ind w:firstLine="420"/>
      </w:pPr>
      <w:rPr>
        <w:rFonts w:hint="eastAsia" w:cs="Times New Roman"/>
      </w:rPr>
    </w:lvl>
  </w:abstractNum>
  <w:abstractNum w:abstractNumId="3">
    <w:nsid w:val="0000000F"/>
    <w:multiLevelType w:val="singleLevel"/>
    <w:tmpl w:val="0000000F"/>
    <w:lvl w:ilvl="0" w:tentative="0">
      <w:start w:val="1"/>
      <w:numFmt w:val="chineseCounting"/>
      <w:suff w:val="nothing"/>
      <w:lvlText w:val="（%1）"/>
      <w:lvlJc w:val="left"/>
      <w:pPr>
        <w:ind w:firstLine="420"/>
      </w:pPr>
      <w:rPr>
        <w:rFonts w:hint="eastAsia" w:cs="Times New Roman"/>
      </w:rPr>
    </w:lvl>
  </w:abstractNum>
  <w:abstractNum w:abstractNumId="4">
    <w:nsid w:val="00000010"/>
    <w:multiLevelType w:val="singleLevel"/>
    <w:tmpl w:val="00000010"/>
    <w:lvl w:ilvl="0" w:tentative="0">
      <w:start w:val="2"/>
      <w:numFmt w:val="chineseCounting"/>
      <w:suff w:val="nothing"/>
      <w:lvlText w:val="%1、"/>
      <w:lvlJc w:val="left"/>
      <w:rPr>
        <w:rFonts w:cs="Times New Roman"/>
      </w:rPr>
    </w:lvl>
  </w:abstractNum>
  <w:abstractNum w:abstractNumId="5">
    <w:nsid w:val="00000011"/>
    <w:multiLevelType w:val="singleLevel"/>
    <w:tmpl w:val="00000011"/>
    <w:lvl w:ilvl="0" w:tentative="0">
      <w:start w:val="1"/>
      <w:numFmt w:val="chineseCounting"/>
      <w:suff w:val="nothing"/>
      <w:lvlText w:val="%1、"/>
      <w:lvlJc w:val="left"/>
      <w:rPr>
        <w:rFonts w:cs="Times New Roman"/>
      </w:rPr>
    </w:lvl>
  </w:abstractNum>
  <w:abstractNum w:abstractNumId="6">
    <w:nsid w:val="00000012"/>
    <w:multiLevelType w:val="singleLevel"/>
    <w:tmpl w:val="00000012"/>
    <w:lvl w:ilvl="0" w:tentative="0">
      <w:start w:val="1"/>
      <w:numFmt w:val="decimal"/>
      <w:suff w:val="nothing"/>
      <w:lvlText w:val="%1．"/>
      <w:lvlJc w:val="left"/>
      <w:pPr>
        <w:ind w:firstLine="400"/>
      </w:pPr>
      <w:rPr>
        <w:rFonts w:hint="default" w:cs="Times New Roman"/>
      </w:rPr>
    </w:lvl>
  </w:abstractNum>
  <w:abstractNum w:abstractNumId="7">
    <w:nsid w:val="134C039D"/>
    <w:multiLevelType w:val="singleLevel"/>
    <w:tmpl w:val="134C039D"/>
    <w:lvl w:ilvl="0" w:tentative="0">
      <w:start w:val="1"/>
      <w:numFmt w:val="decimal"/>
      <w:suff w:val="nothing"/>
      <w:lvlText w:val="%1．"/>
      <w:lvlJc w:val="left"/>
      <w:pPr>
        <w:ind w:firstLine="400"/>
      </w:pPr>
      <w:rPr>
        <w:rFonts w:hint="default" w:cs="Times New Roman"/>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HorizontalSpacing w:val="210"/>
  <w:drawingGridVerticalSpacing w:val="159"/>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4F1"/>
    <w:rsid w:val="00031067"/>
    <w:rsid w:val="00117B39"/>
    <w:rsid w:val="001B2B3D"/>
    <w:rsid w:val="001E1AAC"/>
    <w:rsid w:val="00247EA7"/>
    <w:rsid w:val="002778CF"/>
    <w:rsid w:val="00292878"/>
    <w:rsid w:val="002E71BE"/>
    <w:rsid w:val="003E7706"/>
    <w:rsid w:val="00472BE6"/>
    <w:rsid w:val="004B436B"/>
    <w:rsid w:val="005C0280"/>
    <w:rsid w:val="005D0806"/>
    <w:rsid w:val="006D5C7E"/>
    <w:rsid w:val="006F189B"/>
    <w:rsid w:val="00976F3B"/>
    <w:rsid w:val="009C147F"/>
    <w:rsid w:val="00A068B3"/>
    <w:rsid w:val="00B076EC"/>
    <w:rsid w:val="00B37C0B"/>
    <w:rsid w:val="00E921DC"/>
    <w:rsid w:val="00ED32E2"/>
    <w:rsid w:val="00F124F1"/>
    <w:rsid w:val="00F57BE2"/>
    <w:rsid w:val="00F649C1"/>
    <w:rsid w:val="00FC0FE1"/>
    <w:rsid w:val="181A1D83"/>
    <w:rsid w:val="29053BC6"/>
    <w:rsid w:val="385C699D"/>
    <w:rsid w:val="7BD824AB"/>
    <w:rsid w:val="7E2F3A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qFormat/>
    <w:locked/>
    <w:uiPriority w:val="99"/>
    <w:rPr>
      <w:rFonts w:ascii="Calibri" w:hAnsi="Calibri" w:cs="Calibri"/>
      <w:sz w:val="18"/>
      <w:szCs w:val="18"/>
    </w:rPr>
  </w:style>
  <w:style w:type="character" w:customStyle="1" w:styleId="7">
    <w:name w:val="Header Char"/>
    <w:basedOn w:val="4"/>
    <w:link w:val="3"/>
    <w:semiHidden/>
    <w:qFormat/>
    <w:locked/>
    <w:uiPriority w:val="99"/>
    <w:rPr>
      <w:rFonts w:ascii="Calibri" w:hAnsi="Calibri" w:cs="Calibri"/>
      <w:sz w:val="18"/>
      <w:szCs w:val="18"/>
    </w:rPr>
  </w:style>
  <w:style w:type="paragraph" w:customStyle="1" w:styleId="8">
    <w:name w:val="List Paragraph1"/>
    <w:basedOn w:val="1"/>
    <w:uiPriority w:val="99"/>
    <w:pPr>
      <w:ind w:firstLine="420" w:firstLineChars="200"/>
    </w:pPr>
  </w:style>
  <w:style w:type="character" w:customStyle="1" w:styleId="9">
    <w:name w:val="font31"/>
    <w:basedOn w:val="4"/>
    <w:qFormat/>
    <w:uiPriority w:val="99"/>
    <w:rPr>
      <w:rFonts w:ascii="Arial" w:hAnsi="Arial" w:cs="Arial"/>
      <w:color w:val="000000"/>
      <w:sz w:val="16"/>
      <w:szCs w:val="16"/>
      <w:u w:val="none"/>
    </w:rPr>
  </w:style>
  <w:style w:type="character" w:customStyle="1" w:styleId="10">
    <w:name w:val="font01"/>
    <w:basedOn w:val="4"/>
    <w:uiPriority w:val="99"/>
    <w:rPr>
      <w:rFonts w:ascii="Arial" w:hAnsi="Arial" w:cs="Arial"/>
      <w:color w:val="000000"/>
      <w:sz w:val="16"/>
      <w:szCs w:val="16"/>
      <w:u w:val="none"/>
    </w:rPr>
  </w:style>
  <w:style w:type="character" w:customStyle="1" w:styleId="11">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21</Pages>
  <Words>1294</Words>
  <Characters>7382</Characters>
  <Lines>0</Lines>
  <Paragraphs>0</Paragraphs>
  <TotalTime>40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wsj</dc:creator>
  <cp:lastModifiedBy>Administrator</cp:lastModifiedBy>
  <cp:lastPrinted>2017-07-26T02:47:00Z</cp:lastPrinted>
  <dcterms:modified xsi:type="dcterms:W3CDTF">2019-01-30T03:15:20Z</dcterms:modified>
  <dc:title>Administrator</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