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1000" w:lineRule="exact"/>
        <w:ind w:left="0" w:leftChars="0" w:right="0" w:firstLine="0" w:firstLineChars="0"/>
        <w:jc w:val="both"/>
        <w:textAlignment w:val="auto"/>
        <w:outlineLvl w:val="9"/>
        <w:rPr>
          <w:rFonts w:hint="eastAsia" w:ascii="方正小标宋_GBK" w:hAnsi="方正小标宋_GBK" w:eastAsia="方正小标宋_GBK" w:cs="方正小标宋_GBK"/>
          <w:b/>
          <w:bCs/>
          <w:color w:val="000000"/>
          <w:spacing w:val="-6"/>
          <w:w w:val="100"/>
          <w:sz w:val="44"/>
          <w:szCs w:val="44"/>
        </w:rPr>
      </w:pPr>
    </w:p>
    <w:p>
      <w:pPr>
        <w:widowControl w:val="0"/>
        <w:wordWrap/>
        <w:adjustRightInd/>
        <w:snapToGrid/>
        <w:spacing w:before="0" w:after="0" w:line="1000" w:lineRule="exact"/>
        <w:ind w:left="0" w:leftChars="0" w:right="0" w:firstLine="0" w:firstLineChars="0"/>
        <w:jc w:val="center"/>
        <w:textAlignment w:val="auto"/>
        <w:outlineLvl w:val="9"/>
        <w:rPr>
          <w:rFonts w:hint="eastAsia" w:ascii="宋体" w:hAnsi="宋体" w:eastAsia="宋体" w:cs="宋体"/>
          <w:b/>
          <w:bCs/>
          <w:color w:val="000000"/>
          <w:spacing w:val="-6"/>
          <w:w w:val="100"/>
          <w:sz w:val="52"/>
          <w:szCs w:val="52"/>
        </w:rPr>
      </w:pPr>
      <w:r>
        <w:rPr>
          <w:rFonts w:hint="eastAsia" w:ascii="宋体" w:hAnsi="宋体" w:eastAsia="宋体" w:cs="宋体"/>
          <w:b/>
          <w:bCs/>
          <w:color w:val="000000"/>
          <w:spacing w:val="-6"/>
          <w:w w:val="100"/>
          <w:sz w:val="52"/>
          <w:szCs w:val="52"/>
        </w:rPr>
        <w:t>郏县国民经济和社会发展</w:t>
      </w:r>
    </w:p>
    <w:p>
      <w:pPr>
        <w:widowControl w:val="0"/>
        <w:wordWrap/>
        <w:adjustRightInd/>
        <w:snapToGrid/>
        <w:spacing w:before="0" w:after="0" w:line="700" w:lineRule="exact"/>
        <w:ind w:left="0" w:leftChars="0" w:right="0" w:firstLine="0" w:firstLineChars="0"/>
        <w:jc w:val="center"/>
        <w:textAlignment w:val="auto"/>
        <w:outlineLvl w:val="9"/>
        <w:rPr>
          <w:rFonts w:hint="eastAsia" w:ascii="宋体" w:hAnsi="宋体" w:eastAsia="宋体" w:cs="宋体"/>
          <w:b/>
          <w:bCs/>
          <w:color w:val="000000"/>
          <w:spacing w:val="-6"/>
          <w:w w:val="100"/>
          <w:sz w:val="52"/>
          <w:szCs w:val="52"/>
        </w:rPr>
      </w:pPr>
      <w:r>
        <w:rPr>
          <w:rFonts w:hint="eastAsia" w:ascii="宋体" w:hAnsi="宋体" w:eastAsia="宋体" w:cs="宋体"/>
          <w:b/>
          <w:bCs/>
          <w:color w:val="000000"/>
          <w:spacing w:val="-6"/>
          <w:w w:val="100"/>
          <w:sz w:val="52"/>
          <w:szCs w:val="52"/>
        </w:rPr>
        <w:t>第十四个五年规划和二〇三五年</w:t>
      </w:r>
      <w:r>
        <w:rPr>
          <w:rFonts w:hint="eastAsia" w:ascii="宋体" w:hAnsi="宋体" w:eastAsia="宋体" w:cs="宋体"/>
          <w:b/>
          <w:bCs/>
          <w:color w:val="000000"/>
          <w:spacing w:val="-6"/>
          <w:w w:val="100"/>
          <w:sz w:val="52"/>
          <w:szCs w:val="52"/>
        </w:rPr>
        <w:br/>
      </w:r>
      <w:r>
        <w:rPr>
          <w:rFonts w:hint="eastAsia" w:ascii="宋体" w:hAnsi="宋体" w:eastAsia="宋体" w:cs="宋体"/>
          <w:b/>
          <w:bCs/>
          <w:color w:val="000000"/>
          <w:spacing w:val="-6"/>
          <w:w w:val="100"/>
          <w:sz w:val="52"/>
          <w:szCs w:val="52"/>
        </w:rPr>
        <w:t>远景目标纲要</w:t>
      </w:r>
    </w:p>
    <w:p>
      <w:pPr>
        <w:ind w:firstLine="600" w:firstLineChars="200"/>
        <w:rPr>
          <w:rFonts w:ascii="仿宋_GB2312" w:hAnsi="仿宋_GB2312" w:eastAsia="仿宋_GB2312" w:cs="仿宋_GB2312"/>
          <w:color w:val="000000"/>
          <w:sz w:val="30"/>
          <w:szCs w:val="30"/>
        </w:rPr>
      </w:pPr>
    </w:p>
    <w:p>
      <w:pPr>
        <w:widowControl w:val="0"/>
        <w:wordWrap/>
        <w:adjustRightInd/>
        <w:snapToGrid/>
        <w:ind w:firstLine="640" w:firstLineChars="200"/>
        <w:textAlignment w:val="auto"/>
        <w:rPr>
          <w:rFonts w:ascii="仿宋_GB2312" w:hAnsi="仿宋_GB2312" w:eastAsia="仿宋_GB2312" w:cs="仿宋_GB2312"/>
          <w:color w:val="000000"/>
          <w:sz w:val="32"/>
          <w:szCs w:val="32"/>
        </w:rPr>
      </w:pPr>
      <w:bookmarkStart w:id="0" w:name="_Toc58184587"/>
      <w:bookmarkStart w:id="1" w:name="_Hlk49696789"/>
      <w:r>
        <w:rPr>
          <w:rFonts w:hint="eastAsia" w:ascii="仿宋_GB2312" w:hAnsi="仿宋_GB2312" w:eastAsia="仿宋_GB2312" w:cs="仿宋_GB2312"/>
          <w:color w:val="000000"/>
          <w:sz w:val="32"/>
          <w:szCs w:val="32"/>
        </w:rPr>
        <w:t>“十四五”时期是我国全面建成小康社会、实现第一个百年奋斗目标之后，乘势而上开启全面建设社会主义现代化国家新征程、向第二个百年奋斗目标进军的关键时期。为阐明全县发展战略意图，明确全县工作重点，根据《中共郏县县委关于制定郏县国民经济和社会发展第十四个五年规划和二〇三五年远景目标的建议》，特编制《郏县国民经济和社会发展第十四个五年规划和二〇三五年远景目标纲要》。本纲要是我县未来五年</w:t>
      </w:r>
      <w:r>
        <w:rPr>
          <w:rFonts w:hint="eastAsia" w:ascii="仿宋_GB2312" w:hAnsi="仿宋_GB2312" w:eastAsia="仿宋_GB2312" w:cs="仿宋_GB2312"/>
          <w:color w:val="000000"/>
          <w:sz w:val="32"/>
          <w:szCs w:val="32"/>
          <w:lang w:val="en-US" w:eastAsia="zh-CN"/>
        </w:rPr>
        <w:t>及展望</w:t>
      </w:r>
      <w:r>
        <w:rPr>
          <w:rFonts w:hint="eastAsia" w:ascii="仿宋_GB2312" w:hAnsi="仿宋_GB2312" w:eastAsia="仿宋_GB2312" w:cs="仿宋_GB2312"/>
          <w:color w:val="000000"/>
          <w:sz w:val="32"/>
          <w:szCs w:val="32"/>
        </w:rPr>
        <w:t>二〇三五年经济社会发展的宏伟蓝图和全县人民共同奋斗的行动纲领。</w:t>
      </w:r>
      <w:bookmarkEnd w:id="0"/>
    </w:p>
    <w:p>
      <w:pPr>
        <w:pStyle w:val="41"/>
        <w:spacing w:beforeLines="100" w:afterLines="100" w:line="580" w:lineRule="exact"/>
        <w:rPr>
          <w:rFonts w:hint="eastAsia" w:ascii="宋体" w:hAnsi="宋体" w:eastAsia="宋体" w:cs="宋体"/>
          <w:b w:val="0"/>
          <w:color w:val="000000"/>
          <w:sz w:val="32"/>
          <w:szCs w:val="32"/>
        </w:rPr>
      </w:pPr>
      <w:bookmarkStart w:id="2" w:name="_Toc62991710"/>
      <w:bookmarkStart w:id="3" w:name="_Toc20398"/>
      <w:r>
        <w:rPr>
          <w:rFonts w:hint="eastAsia" w:ascii="宋体" w:hAnsi="宋体" w:eastAsia="宋体" w:cs="宋体"/>
          <w:b w:val="0"/>
          <w:color w:val="000000"/>
          <w:sz w:val="32"/>
          <w:szCs w:val="32"/>
        </w:rPr>
        <w:t>第一篇  开启全面建设社会主义现代化郏县新征程</w:t>
      </w:r>
      <w:bookmarkEnd w:id="2"/>
      <w:bookmarkEnd w:id="3"/>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“十四五”时期，必须全面贯彻落实党中央国务院、省委省政府和市委市政府决策部署，准确把握新发展阶段、新发展理念、新发展格局的核心要义和总体要求，为奋力推进现代化郏县建设开好局、起好步。</w:t>
      </w:r>
    </w:p>
    <w:p>
      <w:pPr>
        <w:pStyle w:val="42"/>
        <w:spacing w:beforeLines="50" w:afterLines="50"/>
        <w:rPr>
          <w:b w:val="0"/>
          <w:bCs/>
          <w:color w:val="000000"/>
          <w:szCs w:val="32"/>
        </w:rPr>
      </w:pPr>
      <w:bookmarkStart w:id="4" w:name="_Toc10271"/>
      <w:bookmarkStart w:id="5" w:name="_Toc62991711"/>
      <w:r>
        <w:rPr>
          <w:rFonts w:hint="eastAsia"/>
          <w:b w:val="0"/>
          <w:bCs/>
          <w:color w:val="000000"/>
          <w:szCs w:val="32"/>
        </w:rPr>
        <w:t>第一章  决胜全面建成小康社会取得决定性成就</w:t>
      </w:r>
      <w:bookmarkEnd w:id="4"/>
      <w:bookmarkEnd w:id="5"/>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时期，在习近平新时代中国特色社会主义思想科学指引下，面对复杂严峻的发展环境及2020年突如其来的新冠肺炎疫情，全县上下坚定贯彻落实中央和省委、市委决策部署，紧盯“四县建设”任务目标，坚持稳中求进工作总基调，坚定不移贯彻新发展理念，全面深化改革和扩大开放，坚决打赢三大攻坚战，全力推动县域高质量发展，各项事业发展呈现崭新面貌，“十三五”规划主要目标任务顺利完成，实现了全面建成小康社会奋斗目标。</w:t>
      </w:r>
    </w:p>
    <w:p>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综合实力实现重大跨越。</w:t>
      </w:r>
      <w:r>
        <w:rPr>
          <w:rFonts w:hint="eastAsia" w:ascii="仿宋_GB2312" w:hAnsi="仿宋_GB2312" w:eastAsia="仿宋_GB2312" w:cs="仿宋_GB2312"/>
          <w:color w:val="000000"/>
          <w:sz w:val="32"/>
          <w:szCs w:val="32"/>
        </w:rPr>
        <w:t>坚持把稳增长、提质量作为经济工作的首要任务，“十三五”末生产总值突破200亿元大关，年均增长7.5%；人均生产总值预计达到34948元，五年增加8951元；一般公共预算收入跨入10亿元门槛，年均增长7.9%；城乡居民人均可支配收入超过2万元，年均增长10.6%；社会消费品零售总额预计达到75亿元，年均增长8.2%。产业转型初见成效，三次产业比由2015年的15.1:57.6:27.3调整为1</w:t>
      </w:r>
      <w:r>
        <w:rPr>
          <w:rFonts w:ascii="仿宋_GB2312" w:hAnsi="仿宋_GB2312" w:eastAsia="仿宋_GB2312" w:cs="仿宋_GB2312"/>
          <w:color w:val="000000"/>
          <w:sz w:val="32"/>
          <w:szCs w:val="32"/>
        </w:rPr>
        <w:t>3.7:</w:t>
      </w: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3.6:</w:t>
      </w:r>
      <w:r>
        <w:rPr>
          <w:rFonts w:hint="eastAsia" w:ascii="仿宋_GB2312" w:hAnsi="仿宋_GB2312" w:eastAsia="仿宋_GB2312" w:cs="仿宋_GB2312"/>
          <w:color w:val="000000"/>
          <w:sz w:val="32"/>
          <w:szCs w:val="32"/>
        </w:rPr>
        <w:t>42.</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，第三产业占比提高15.</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个百分点，经济结构进一步优化，县域高质量发展综合排名进入全省第一方阵。</w:t>
      </w:r>
    </w:p>
    <w:p>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转型发展步伐加快。</w:t>
      </w:r>
      <w:r>
        <w:rPr>
          <w:rFonts w:hint="eastAsia" w:ascii="仿宋_GB2312" w:hAnsi="仿宋_GB2312" w:eastAsia="仿宋_GB2312" w:cs="仿宋_GB2312"/>
          <w:color w:val="000000"/>
          <w:sz w:val="32"/>
          <w:szCs w:val="32"/>
        </w:rPr>
        <w:t>装备制造、医药、陶瓷、铁锅、建材等产业集群不断壮大。2020年，全县拥有规模以上工业企业150家，规模以上工业增加值完成80亿元，“十三五”期间年均增速8.3%。“三大改造”成效明显，实施技术化改造项目96个，智能化改造项目66个，绿色化改造项目10个。产业集聚区“二次创业”稳步实施，</w:t>
      </w:r>
      <w:r>
        <w:rPr>
          <w:rFonts w:hint="eastAsia" w:ascii="仿宋_GB2312" w:hAnsi="仿宋_GB2312" w:eastAsia="仿宋_GB2312" w:cs="仿宋_GB2312"/>
          <w:color w:val="000000"/>
          <w:sz w:val="32"/>
          <w:szCs w:val="32"/>
          <w:lang w:val="en-US" w:eastAsia="zh-CN"/>
        </w:rPr>
        <w:t>基本</w:t>
      </w:r>
      <w:r>
        <w:rPr>
          <w:rFonts w:hint="eastAsia" w:ascii="仿宋_GB2312" w:hAnsi="仿宋_GB2312" w:eastAsia="仿宋_GB2312" w:cs="仿宋_GB2312"/>
          <w:color w:val="000000"/>
          <w:sz w:val="32"/>
          <w:szCs w:val="32"/>
        </w:rPr>
        <w:t>建成高低压电气、环保包装两个“区中园”，产业集群效应显著提升，荣获河南省产业集聚区建设“金星奖”和河南县域经济特色百亿集群、河南省十佳特色产业名片集聚区等称号。铸铁锅产业发展势头强劲，郏县渤海铁锅交易中心开盘运行，荣获“中国铸铁锅之都”称号。</w:t>
      </w:r>
    </w:p>
    <w:p>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农业基础持续稳固。</w:t>
      </w:r>
      <w:r>
        <w:rPr>
          <w:rFonts w:hint="eastAsia" w:ascii="仿宋_GB2312" w:hAnsi="仿宋_GB2312" w:eastAsia="仿宋_GB2312" w:cs="仿宋_GB2312"/>
          <w:color w:val="000000"/>
          <w:sz w:val="32"/>
          <w:szCs w:val="32"/>
        </w:rPr>
        <w:t>牢固坚守粮食安全底线，粮食总产连年稳定33万吨以上，夏粮单产持续保持全市先进位次，建设高标准良田</w:t>
      </w:r>
      <w:r>
        <w:rPr>
          <w:rFonts w:ascii="仿宋_GB2312" w:hAnsi="仿宋_GB2312" w:eastAsia="仿宋_GB2312" w:cs="仿宋_GB2312"/>
          <w:color w:val="000000"/>
          <w:sz w:val="32"/>
          <w:szCs w:val="32"/>
        </w:rPr>
        <w:t>22.2万亩</w:t>
      </w:r>
      <w:r>
        <w:rPr>
          <w:rFonts w:hint="eastAsia" w:ascii="仿宋_GB2312" w:hAnsi="仿宋_GB2312" w:eastAsia="仿宋_GB2312" w:cs="仿宋_GB2312"/>
          <w:color w:val="000000"/>
          <w:sz w:val="32"/>
          <w:szCs w:val="32"/>
        </w:rPr>
        <w:t>。农业产业特色发展基础牢固，“一乡一业”农业发展格局初步显现，农产品获“三品一标”认证46个，成功创建全省绿色食品示范基地、省级农产品质量安全县。烟叶品质持续提升，“山儿西烟”获地理标志产品，郏县烟叶在全省质量评比中荣获第一名。郏县红牛雪花牛肉荣获全国首届优质牛肉品鉴大会最高奖“综合评价优胜奖”，</w:t>
      </w:r>
      <w:r>
        <w:rPr>
          <w:rFonts w:hint="eastAsia" w:ascii="仿宋_GB2312" w:hAnsi="仿宋_GB2312" w:eastAsia="仿宋_GB2312" w:cs="仿宋_GB2312"/>
          <w:color w:val="000000"/>
          <w:sz w:val="32"/>
          <w:szCs w:val="32"/>
          <w:lang w:val="en-US" w:eastAsia="zh-CN"/>
        </w:rPr>
        <w:t>郏县</w:t>
      </w:r>
      <w:r>
        <w:rPr>
          <w:rFonts w:hint="eastAsia" w:ascii="仿宋_GB2312" w:hAnsi="仿宋_GB2312" w:eastAsia="仿宋_GB2312" w:cs="仿宋_GB2312"/>
          <w:color w:val="000000"/>
          <w:sz w:val="32"/>
          <w:szCs w:val="32"/>
        </w:rPr>
        <w:t>红牛养殖规模逐年扩大，引进落户</w:t>
      </w:r>
      <w:r>
        <w:rPr>
          <w:rFonts w:hint="eastAsia" w:ascii="仿宋_GB2312" w:hAnsi="仿宋_GB2312" w:eastAsia="仿宋_GB2312" w:cs="仿宋_GB2312"/>
          <w:color w:val="000000"/>
          <w:sz w:val="32"/>
          <w:szCs w:val="32"/>
          <w:lang w:val="en-US" w:eastAsia="zh-CN"/>
        </w:rPr>
        <w:t>郏县</w:t>
      </w:r>
      <w:r>
        <w:rPr>
          <w:rFonts w:hint="eastAsia" w:ascii="仿宋_GB2312" w:hAnsi="仿宋_GB2312" w:eastAsia="仿宋_GB2312" w:cs="仿宋_GB2312"/>
          <w:color w:val="000000"/>
          <w:sz w:val="32"/>
          <w:szCs w:val="32"/>
        </w:rPr>
        <w:t>红牛养殖企业12家，入选首批中国农产品区域公用品牌，建成郏县红牛省级现代农业产业园。全县省市级农业龙头企业达到38家。</w:t>
      </w:r>
    </w:p>
    <w:p>
      <w:pPr>
        <w:widowControl w:val="0"/>
        <w:wordWrap/>
        <w:adjustRightInd/>
        <w:snapToGrid/>
        <w:spacing w:before="0" w:after="0" w:line="600" w:lineRule="exact"/>
        <w:ind w:left="0" w:leftChars="0" w:right="0" w:firstLine="640" w:firstLineChars="200"/>
        <w:jc w:val="both"/>
        <w:textAlignment w:val="auto"/>
        <w:outlineLvl w:val="9"/>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现代服务业迅猛发展。</w:t>
      </w:r>
      <w:r>
        <w:rPr>
          <w:rFonts w:hint="eastAsia" w:ascii="仿宋_GB2312" w:hAnsi="仿宋_GB2312" w:eastAsia="仿宋_GB2312" w:cs="仿宋_GB2312"/>
          <w:color w:val="000000"/>
          <w:sz w:val="32"/>
          <w:szCs w:val="32"/>
        </w:rPr>
        <w:t>“十三五”期间服务业年均增速达到</w:t>
      </w:r>
      <w:r>
        <w:rPr>
          <w:rFonts w:ascii="仿宋_GB2312" w:hAnsi="仿宋_GB2312" w:eastAsia="仿宋_GB2312" w:cs="仿宋_GB2312"/>
          <w:color w:val="000000"/>
          <w:sz w:val="32"/>
          <w:szCs w:val="32"/>
        </w:rPr>
        <w:t>8.5</w:t>
      </w:r>
      <w:r>
        <w:rPr>
          <w:rFonts w:hint="eastAsia" w:ascii="仿宋_GB2312" w:hAnsi="仿宋_GB2312" w:eastAsia="仿宋_GB2312" w:cs="仿宋_GB2312"/>
          <w:color w:val="000000"/>
          <w:sz w:val="32"/>
          <w:szCs w:val="32"/>
        </w:rPr>
        <w:t>%，高于生产总值增速1个百分点。文化旅游、电子商务、物流、金融和商贸等现代服务产业规模不断壮大。消费需求保持活跃，2020年实现社会消费品零售总额</w:t>
      </w:r>
      <w:r>
        <w:rPr>
          <w:rFonts w:ascii="仿宋_GB2312" w:hAnsi="仿宋_GB2312" w:eastAsia="仿宋_GB2312" w:cs="仿宋_GB2312"/>
          <w:color w:val="000000"/>
          <w:sz w:val="32"/>
          <w:szCs w:val="32"/>
        </w:rPr>
        <w:t>75</w:t>
      </w:r>
      <w:r>
        <w:rPr>
          <w:rFonts w:hint="eastAsia" w:ascii="仿宋_GB2312" w:hAnsi="仿宋_GB2312" w:eastAsia="仿宋_GB2312" w:cs="仿宋_GB2312"/>
          <w:color w:val="000000"/>
          <w:sz w:val="32"/>
          <w:szCs w:val="32"/>
        </w:rPr>
        <w:t>亿元。在全省率先开展客货邮一体化，借助“村村通”农村客运班车，解决农村物流配送“最后一公里”问题。仓储物流增效明显，信息和金融服务快速发展，2020年电商平台交易总量</w:t>
      </w: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亿元，入选省级电商进农村综合示范县。文化旅游发展亮点频出，成功筹办3届中国郏县美食文化周，郏县饸饹面</w:t>
      </w:r>
      <w:r>
        <w:rPr>
          <w:rFonts w:hint="eastAsia" w:ascii="仿宋_GB2312" w:hAnsi="仿宋_GB2312" w:eastAsia="仿宋_GB2312" w:cs="仿宋_GB2312"/>
          <w:color w:val="000000"/>
          <w:spacing w:val="-3"/>
          <w:sz w:val="32"/>
          <w:szCs w:val="32"/>
        </w:rPr>
        <w:t>获评“最红豫面第一碗”。姚庄回族乡创成全省唯一全域4A级景区，全县4A级景区达到2家、3A级景区达到6家，</w:t>
      </w:r>
      <w:r>
        <w:rPr>
          <w:rFonts w:ascii="仿宋_GB2312" w:hAnsi="仿宋_GB2312" w:eastAsia="仿宋_GB2312" w:cs="仿宋_GB2312"/>
          <w:color w:val="000000"/>
          <w:spacing w:val="-3"/>
          <w:sz w:val="32"/>
          <w:szCs w:val="32"/>
        </w:rPr>
        <w:t>3</w:t>
      </w:r>
      <w:r>
        <w:rPr>
          <w:rFonts w:hint="eastAsia" w:ascii="仿宋_GB2312" w:hAnsi="仿宋_GB2312" w:eastAsia="仿宋_GB2312" w:cs="仿宋_GB2312"/>
          <w:color w:val="000000"/>
          <w:spacing w:val="-3"/>
          <w:sz w:val="32"/>
          <w:szCs w:val="32"/>
        </w:rPr>
        <w:t>个村庄获得中国十大最美乡村，顺利承办13省目的地旅游业联盟大会，获得千年古县、中国长寿之乡、中国健康小城、中国诗歌之乡、中国大铜器舞文化之乡、全国百佳旅游目的地、新时代中国最美乡村休闲旅游目的地等一大批荣誉称号。</w:t>
      </w:r>
    </w:p>
    <w:p>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攻坚战役赢得重大胜利。</w:t>
      </w:r>
      <w:r>
        <w:rPr>
          <w:rFonts w:hint="eastAsia" w:ascii="仿宋_GB2312" w:hAnsi="仿宋_GB2312" w:eastAsia="仿宋_GB2312" w:cs="仿宋_GB2312"/>
          <w:color w:val="000000"/>
          <w:sz w:val="32"/>
          <w:szCs w:val="32"/>
        </w:rPr>
        <w:t>巩固提升“两不愁三保障”，探索建立“3·5·7”长效帮扶机制和“3+1”防贫模式，作为典型经验向全省推广。“</w:t>
      </w:r>
      <w:r>
        <w:rPr>
          <w:rFonts w:ascii="仿宋_GB2312" w:hAnsi="仿宋_GB2312" w:eastAsia="仿宋_GB2312" w:cs="仿宋_GB2312"/>
          <w:color w:val="000000"/>
          <w:sz w:val="32"/>
          <w:szCs w:val="32"/>
        </w:rPr>
        <w:t>零就业</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家庭动态消除、产业增收多措并举、综合保障坚强有力、基础设施不断提升，</w:t>
      </w:r>
      <w:r>
        <w:rPr>
          <w:rFonts w:hint="eastAsia" w:ascii="仿宋_GB2312" w:hAnsi="仿宋_GB2312" w:eastAsia="仿宋_GB2312" w:cs="仿宋_GB2312"/>
          <w:color w:val="000000"/>
          <w:sz w:val="32"/>
          <w:szCs w:val="32"/>
        </w:rPr>
        <w:t>脱贫攻坚任务如期完成，现行标准下全县贫困人口全部脱贫，60个贫困村尽数出列。全面打好污染防治攻坚战，开展“三散”、企业提标改造等专项行动，深入推进大气、水、土壤污染防治，出境断面水质达标率100%，生态环境持续改善，超额完成省定、市定污染防治目标任务。“区内修复、区外补偿”双规机制，被誉为矿山生态修复的“郏县样板”，荣获全国首届绿色矿山突出贡献单位。防范化解重大风险取得积极成效，政府性债务保持在安全范围，守住了不发生系统性区域性风险的底线。</w:t>
      </w:r>
    </w:p>
    <w:p>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城乡变化翻天覆地。</w:t>
      </w:r>
      <w:r>
        <w:rPr>
          <w:rFonts w:hint="eastAsia" w:ascii="仿宋_GB2312" w:hAnsi="仿宋_GB2312" w:eastAsia="仿宋_GB2312" w:cs="仿宋_GB2312"/>
          <w:color w:val="000000"/>
          <w:sz w:val="32"/>
          <w:szCs w:val="32"/>
        </w:rPr>
        <w:t>城市创建和百城提质建设成效显著，获得省级文明县城、国家卫生县城、国家园林县城等一批重大荣誉。县城承载力、吸引力进一步增强，常住人口城镇化率达到45.25%。乡村振兴起步扎实，基础设施和公共服务设施持续向乡村延伸，农村人居环境得到质的提升，创建人居环境整治示范村、达标村</w:t>
      </w:r>
      <w:r>
        <w:rPr>
          <w:rFonts w:hint="eastAsia" w:ascii="仿宋_GB2312" w:hAnsi="仿宋_GB2312" w:eastAsia="仿宋_GB2312" w:cs="仿宋_GB2312"/>
          <w:color w:val="000000"/>
          <w:sz w:val="32"/>
          <w:szCs w:val="32"/>
          <w:lang w:val="en-US" w:eastAsia="zh-CN"/>
        </w:rPr>
        <w:t>274</w:t>
      </w:r>
      <w:r>
        <w:rPr>
          <w:rFonts w:hint="eastAsia" w:ascii="仿宋_GB2312" w:hAnsi="仿宋_GB2312" w:eastAsia="仿宋_GB2312" w:cs="仿宋_GB2312"/>
          <w:color w:val="000000"/>
          <w:sz w:val="32"/>
          <w:szCs w:val="32"/>
        </w:rPr>
        <w:t>个，打造县级乡村振兴示范带2条、乡级乡村振兴示范带11条。获批全国小康用电示范县，被评为全省首批万村通客车提质工程示范县、全省“四好”农村路示范县。国土绿化增速提质，超额完成省定目标，</w:t>
      </w:r>
      <w:r>
        <w:rPr>
          <w:rFonts w:hint="eastAsia" w:ascii="仿宋_GB2312" w:hAnsi="仿宋_GB2312" w:eastAsia="仿宋_GB2312" w:cs="仿宋_GB2312"/>
          <w:color w:val="000000"/>
          <w:sz w:val="32"/>
          <w:szCs w:val="32"/>
          <w:lang w:val="en-US" w:eastAsia="zh-CN"/>
        </w:rPr>
        <w:t>林木</w:t>
      </w:r>
      <w:r>
        <w:rPr>
          <w:rFonts w:hint="eastAsia" w:ascii="仿宋_GB2312" w:hAnsi="仿宋_GB2312" w:eastAsia="仿宋_GB2312" w:cs="仿宋_GB2312"/>
          <w:color w:val="000000"/>
          <w:sz w:val="32"/>
          <w:szCs w:val="32"/>
        </w:rPr>
        <w:t>覆盖率达到37.</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荣获“全国生态建设突出贡献奖”、全省首批省级森林城市。水生态建设成效明显，全县三分之一村庄实现了以水靓村、水美乡村。三洋铁路郏县段建成通车，郑渝高铁郏县站建成投用，北汝河四座橡胶坝建成蓄水，城区5G信号、城乡天然气网络实现全覆盖，基础设施条件</w:t>
      </w:r>
      <w:r>
        <w:rPr>
          <w:rFonts w:ascii="仿宋_GB2312" w:hAnsi="仿宋_GB2312" w:eastAsia="仿宋_GB2312" w:cs="仿宋_GB2312"/>
          <w:color w:val="000000"/>
          <w:sz w:val="32"/>
          <w:szCs w:val="32"/>
        </w:rPr>
        <w:t>大幅改善。</w:t>
      </w:r>
    </w:p>
    <w:p>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改革开放活力迸发。</w:t>
      </w:r>
      <w:r>
        <w:rPr>
          <w:rFonts w:hint="eastAsia" w:ascii="仿宋_GB2312" w:hAnsi="仿宋_GB2312" w:eastAsia="仿宋_GB2312" w:cs="仿宋_GB2312"/>
          <w:color w:val="000000"/>
          <w:sz w:val="32"/>
          <w:szCs w:val="32"/>
        </w:rPr>
        <w:t>招商引资成效显著，“十三五”期间落地亿元以上项目151个，</w:t>
      </w:r>
      <w:r>
        <w:rPr>
          <w:rFonts w:ascii="仿宋_GB2312" w:hAnsi="仿宋_GB2312" w:eastAsia="仿宋_GB2312" w:cs="仿宋_GB2312"/>
          <w:color w:val="000000"/>
          <w:sz w:val="32"/>
          <w:szCs w:val="32"/>
        </w:rPr>
        <w:t>总投资335.3亿元</w:t>
      </w:r>
      <w:r>
        <w:rPr>
          <w:rFonts w:hint="eastAsia" w:ascii="仿宋_GB2312" w:hAnsi="仿宋_GB2312" w:eastAsia="仿宋_GB2312" w:cs="仿宋_GB2312"/>
          <w:color w:val="000000"/>
          <w:sz w:val="32"/>
          <w:szCs w:val="32"/>
        </w:rPr>
        <w:t>。先后承办市级以上现场会75次，“互联网+医疗健康”、土地综合整治“五步走”、矿山生态修复、县域新型城镇化试点、村级妇联“四组一队”、“3+1”防贫模式、紧密型县域健共体改革、农村承包地确权登记、农村水价综合改革等一大批改革走在了全省、全国前列，荣获河南省改革工作先进单位。持续推进“放管服”改革，</w:t>
      </w:r>
      <w:r>
        <w:rPr>
          <w:rFonts w:ascii="仿宋_GB2312" w:hAnsi="仿宋_GB2312" w:eastAsia="仿宋_GB2312" w:cs="仿宋_GB2312"/>
          <w:color w:val="000000"/>
          <w:sz w:val="32"/>
          <w:szCs w:val="32"/>
        </w:rPr>
        <w:t>制定出台《进一步优化营商环境实施方案》</w:t>
      </w:r>
      <w:r>
        <w:rPr>
          <w:rFonts w:hint="eastAsia" w:ascii="仿宋_GB2312" w:hAnsi="仿宋_GB2312" w:eastAsia="仿宋_GB2312" w:cs="仿宋_GB2312"/>
          <w:color w:val="000000"/>
          <w:sz w:val="32"/>
          <w:szCs w:val="32"/>
        </w:rPr>
        <w:t>，在全省率先建立县级营商环境评价体系，被确定为省首批营商环境评价试点县，荣获中国营商环境质量十佳县。</w:t>
      </w:r>
    </w:p>
    <w:p>
      <w:pPr>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人民生活品质显著提高。</w:t>
      </w:r>
      <w:r>
        <w:rPr>
          <w:rFonts w:hint="eastAsia" w:ascii="仿宋_GB2312" w:hAnsi="仿宋_GB2312" w:eastAsia="仿宋_GB2312" w:cs="仿宋_GB2312"/>
          <w:color w:val="000000"/>
          <w:sz w:val="32"/>
          <w:szCs w:val="32"/>
        </w:rPr>
        <w:t>全县存款余额突破200亿元，家庭轿车保有量达到8万台。2020年，全年民生支出</w:t>
      </w:r>
      <w:r>
        <w:rPr>
          <w:rFonts w:ascii="仿宋_GB2312" w:hAnsi="仿宋_GB2312" w:eastAsia="仿宋_GB2312" w:cs="仿宋_GB2312"/>
          <w:color w:val="000000"/>
          <w:sz w:val="32"/>
          <w:szCs w:val="32"/>
        </w:rPr>
        <w:t>26亿元，占财政总支出的81.6%</w:t>
      </w:r>
      <w:r>
        <w:rPr>
          <w:rFonts w:hint="eastAsia" w:ascii="仿宋_GB2312" w:hAnsi="仿宋_GB2312" w:eastAsia="仿宋_GB2312" w:cs="仿宋_GB2312"/>
          <w:color w:val="000000"/>
          <w:sz w:val="32"/>
          <w:szCs w:val="32"/>
        </w:rPr>
        <w:t>。新增就业人口3.8万人，城乡居民基本养老、基本医疗保险实现全覆盖，登记失业率4.0%以内。建成农村幸福院和社区日间照料中心102个，3800余名老人享受到优质养老服务。三年棚改项目顺利推进，农村危房动态清零，城乡居民住房更有保障。“教育倍增”工程强力推进，城区新建学校7所，实验高中建成投用，城区新增优质学位近2万个，顺利通过义务教育发展基本均衡县国家验收，教育大县建设成效显著。健康郏县建设稳步推进，荣获全国居民健康卡普及应用先进单位、全国妇幼健康优质服务示范县、全国残疾人工作先进单位、国家健康促进县。成功创建省级食品安全县。平安建设、法制建设扎实推进，扫黑除恶专项斗争取得重大成果，安全生产形势总体平稳，人民群众的获得感、幸福感、安全感进一步提升。</w:t>
      </w:r>
    </w:p>
    <w:p>
      <w:pPr>
        <w:snapToGrid w:val="0"/>
        <w:spacing w:line="600" w:lineRule="exact"/>
        <w:ind w:firstLine="643" w:firstLineChars="200"/>
        <w:textAlignment w:val="baseline"/>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党</w:t>
      </w:r>
      <w:r>
        <w:rPr>
          <w:rFonts w:ascii="楷体_GB2312" w:hAnsi="楷体_GB2312" w:eastAsia="楷体_GB2312" w:cs="楷体_GB2312"/>
          <w:b/>
          <w:bCs/>
          <w:color w:val="000000"/>
          <w:sz w:val="32"/>
          <w:szCs w:val="32"/>
        </w:rPr>
        <w:t>的建设全面加强</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color w:val="000000"/>
          <w:sz w:val="32"/>
          <w:szCs w:val="32"/>
        </w:rPr>
        <w:t>基层基础更加夯实，党风政风民风持续好转，政治生态风清气正，反腐败斗争压倒性胜利巩固拓展。特别是面对新冠肺炎疫情的连续冲击，全县上下众志成城、坚韧不拔构筑起了守护生命的铜墙铁壁，疫情防控取得战略性成果，经济社会发展加速恢复、持续向好，各级党组织“四力”显著提升。全县党员干部干事创业激情充分迸发，争做出彩郏县人成为干部群众的自觉。</w:t>
      </w:r>
    </w:p>
    <w:p>
      <w:pPr>
        <w:snapToGrid w:val="0"/>
        <w:spacing w:line="600" w:lineRule="exact"/>
        <w:ind w:firstLine="640" w:firstLineChars="200"/>
        <w:textAlignment w:val="baseline"/>
        <w:rPr>
          <w:color w:val="000000"/>
        </w:rPr>
      </w:pPr>
      <w:r>
        <w:rPr>
          <w:rFonts w:hint="eastAsia" w:ascii="仿宋_GB2312" w:hAnsi="仿宋_GB2312" w:eastAsia="仿宋_GB2312" w:cs="仿宋_GB2312"/>
          <w:color w:val="000000"/>
          <w:sz w:val="32"/>
          <w:szCs w:val="32"/>
        </w:rPr>
        <w:t>“十三五”时期是郏县创新实践特色鲜明、综合实力提升明显的五年，经过五年的不懈努力，“十三五”的预期目标基本完成。全县坚持生态立县、产业强县、文旅富县、实干兴县，绿色生态的靓丽底色初步形成，特色产业的基础优势更加明显，文旅康养的潜在势能已经激活，党员干部群众的奋斗激情空前高涨，全面建成小康社会胜利在望，这在郏县发展史上具有重要里程碑意义，为建设“厚重”郏县、实力郏县、文明郏县、幸福郏县的目标打下坚实基础。</w:t>
      </w:r>
    </w:p>
    <w:p>
      <w:pPr>
        <w:jc w:val="center"/>
        <w:rPr>
          <w:rFonts w:ascii="黑体" w:hAnsi="黑体" w:eastAsia="黑体" w:cs="黑体"/>
          <w:color w:val="000000"/>
          <w:sz w:val="28"/>
          <w:szCs w:val="28"/>
        </w:rPr>
      </w:pPr>
      <w:r>
        <w:rPr>
          <w:rFonts w:hint="eastAsia" w:ascii="黑体" w:hAnsi="黑体" w:eastAsia="黑体" w:cs="黑体"/>
          <w:color w:val="000000"/>
          <w:sz w:val="28"/>
          <w:szCs w:val="28"/>
        </w:rPr>
        <w:t>表1：郏县“十三五”主要规划指标完成情况</w:t>
      </w:r>
    </w:p>
    <w:tbl>
      <w:tblPr>
        <w:tblW w:w="884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9"/>
        <w:gridCol w:w="3109"/>
        <w:gridCol w:w="763"/>
        <w:gridCol w:w="895"/>
        <w:gridCol w:w="761"/>
        <w:gridCol w:w="975"/>
        <w:gridCol w:w="40"/>
        <w:gridCol w:w="1119"/>
      </w:tblGrid>
      <w:tr>
        <w:trPr>
          <w:trHeight w:val="608" w:hRule="atLeast"/>
          <w:jc w:val="center"/>
        </w:trPr>
        <w:tc>
          <w:tcPr>
            <w:tcW w:w="4288" w:type="dxa"/>
            <w:gridSpan w:val="2"/>
            <w:vMerge w:val="restart"/>
            <w:tcMar>
              <w:left w:w="0" w:type="dxa"/>
              <w:right w:w="0" w:type="dxa"/>
            </w:tcMar>
            <w:vAlign w:val="center"/>
          </w:tcPr>
          <w:p>
            <w:pPr>
              <w:snapToGrid w:val="0"/>
              <w:jc w:val="center"/>
              <w:rPr>
                <w:rFonts w:hint="eastAsia" w:ascii="仿宋_GB2312" w:hAnsi="仿宋_GB2312" w:eastAsia="仿宋_GB2312" w:cs="仿宋_GB2312"/>
                <w:color w:val="000000"/>
                <w:kern w:val="0"/>
                <w:szCs w:val="21"/>
              </w:rPr>
            </w:pPr>
            <w:bookmarkStart w:id="6" w:name="_Hlk60213442"/>
            <w:r>
              <w:rPr>
                <w:rFonts w:hint="eastAsia" w:ascii="仿宋_GB2312" w:hAnsi="仿宋_GB2312" w:eastAsia="仿宋_GB2312" w:cs="仿宋_GB2312"/>
                <w:color w:val="000000"/>
                <w:kern w:val="0"/>
                <w:szCs w:val="21"/>
              </w:rPr>
              <w:t>指标名称</w:t>
            </w:r>
          </w:p>
        </w:tc>
        <w:tc>
          <w:tcPr>
            <w:tcW w:w="1658"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w w:val="90"/>
                <w:kern w:val="0"/>
                <w:szCs w:val="21"/>
              </w:rPr>
            </w:pPr>
            <w:r>
              <w:rPr>
                <w:rFonts w:hint="eastAsia" w:ascii="仿宋_GB2312" w:hAnsi="仿宋_GB2312" w:eastAsia="仿宋_GB2312" w:cs="仿宋_GB2312"/>
                <w:color w:val="000000"/>
                <w:kern w:val="0"/>
                <w:szCs w:val="21"/>
              </w:rPr>
              <w:t>“十三五”规划目标</w:t>
            </w:r>
          </w:p>
        </w:tc>
        <w:tc>
          <w:tcPr>
            <w:tcW w:w="1736" w:type="dxa"/>
            <w:gridSpan w:val="2"/>
            <w:vAlign w:val="top"/>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“十三五”完成情况</w:t>
            </w:r>
          </w:p>
        </w:tc>
        <w:tc>
          <w:tcPr>
            <w:tcW w:w="1159" w:type="dxa"/>
            <w:gridSpan w:val="2"/>
            <w:vMerge w:val="restart"/>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指标</w:t>
            </w:r>
          </w:p>
          <w:p>
            <w:pPr>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类型</w:t>
            </w:r>
          </w:p>
        </w:tc>
      </w:tr>
      <w:tr>
        <w:trPr>
          <w:trHeight w:val="584" w:hRule="atLeast"/>
          <w:jc w:val="center"/>
        </w:trPr>
        <w:tc>
          <w:tcPr>
            <w:tcW w:w="4288" w:type="dxa"/>
            <w:gridSpan w:val="2"/>
            <w:vMerge w:val="continue"/>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2020年</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w w:val="90"/>
                <w:kern w:val="0"/>
                <w:szCs w:val="21"/>
              </w:rPr>
              <w:t>年均增长（%）</w:t>
            </w:r>
          </w:p>
        </w:tc>
        <w:tc>
          <w:tcPr>
            <w:tcW w:w="761" w:type="dxa"/>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2020年</w:t>
            </w:r>
          </w:p>
        </w:tc>
        <w:tc>
          <w:tcPr>
            <w:tcW w:w="975" w:type="dxa"/>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w w:val="90"/>
                <w:kern w:val="0"/>
                <w:szCs w:val="21"/>
              </w:rPr>
              <w:t>年均增长（%）</w:t>
            </w:r>
          </w:p>
        </w:tc>
        <w:tc>
          <w:tcPr>
            <w:tcW w:w="1159" w:type="dxa"/>
            <w:gridSpan w:val="2"/>
            <w:vMerge w:val="continue"/>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p>
        </w:tc>
      </w:tr>
      <w:tr>
        <w:trPr>
          <w:trHeight w:val="340" w:hRule="exact"/>
          <w:jc w:val="center"/>
        </w:trPr>
        <w:tc>
          <w:tcPr>
            <w:tcW w:w="8841" w:type="dxa"/>
            <w:gridSpan w:val="8"/>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一、综合实力和经济发展</w:t>
            </w:r>
          </w:p>
        </w:tc>
      </w:tr>
      <w:tr>
        <w:trPr>
          <w:trHeight w:val="340" w:hRule="exact"/>
          <w:jc w:val="center"/>
        </w:trPr>
        <w:tc>
          <w:tcPr>
            <w:tcW w:w="4288" w:type="dxa"/>
            <w:gridSpan w:val="2"/>
            <w:tcMar>
              <w:left w:w="0" w:type="dxa"/>
              <w:right w:w="0" w:type="dxa"/>
            </w:tcMar>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1、地区生产总值（亿元）</w:t>
            </w: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18"/>
                <w:szCs w:val="18"/>
              </w:rPr>
              <w:t>230以上</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9左右</w:t>
            </w:r>
          </w:p>
        </w:tc>
        <w:tc>
          <w:tcPr>
            <w:tcW w:w="761" w:type="dxa"/>
            <w:vAlign w:val="top"/>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202</w:t>
            </w:r>
          </w:p>
        </w:tc>
        <w:tc>
          <w:tcPr>
            <w:tcW w:w="975" w:type="dxa"/>
            <w:vAlign w:val="top"/>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7.5</w:t>
            </w:r>
          </w:p>
        </w:tc>
        <w:tc>
          <w:tcPr>
            <w:tcW w:w="1159"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预期性</w:t>
            </w:r>
          </w:p>
        </w:tc>
      </w:tr>
      <w:tr>
        <w:trPr>
          <w:trHeight w:val="340" w:hRule="exact"/>
          <w:jc w:val="center"/>
        </w:trPr>
        <w:tc>
          <w:tcPr>
            <w:tcW w:w="4288" w:type="dxa"/>
            <w:gridSpan w:val="2"/>
            <w:tcMar>
              <w:left w:w="0" w:type="dxa"/>
              <w:right w:w="0" w:type="dxa"/>
            </w:tcMar>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2、全社会固定资产投资（亿元）</w:t>
            </w: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390</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761" w:type="dxa"/>
            <w:vAlign w:val="top"/>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975" w:type="dxa"/>
            <w:vAlign w:val="top"/>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15.5</w:t>
            </w:r>
          </w:p>
        </w:tc>
        <w:tc>
          <w:tcPr>
            <w:tcW w:w="1159"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预期性</w:t>
            </w:r>
          </w:p>
        </w:tc>
      </w:tr>
      <w:tr>
        <w:trPr>
          <w:trHeight w:val="340" w:hRule="exact"/>
          <w:jc w:val="center"/>
        </w:trPr>
        <w:tc>
          <w:tcPr>
            <w:tcW w:w="4288" w:type="dxa"/>
            <w:gridSpan w:val="2"/>
            <w:tcMar>
              <w:left w:w="0" w:type="dxa"/>
              <w:right w:w="0" w:type="dxa"/>
            </w:tcMar>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3、公共财政预算收入（亿元）</w:t>
            </w: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9.9</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w:t>
            </w:r>
          </w:p>
        </w:tc>
        <w:tc>
          <w:tcPr>
            <w:tcW w:w="761" w:type="dxa"/>
            <w:vAlign w:val="top"/>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10.4</w:t>
            </w:r>
          </w:p>
        </w:tc>
        <w:tc>
          <w:tcPr>
            <w:tcW w:w="975" w:type="dxa"/>
            <w:vAlign w:val="top"/>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7.5</w:t>
            </w:r>
          </w:p>
        </w:tc>
        <w:tc>
          <w:tcPr>
            <w:tcW w:w="1159"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预期性</w:t>
            </w:r>
          </w:p>
        </w:tc>
      </w:tr>
      <w:tr>
        <w:trPr>
          <w:trHeight w:val="340" w:hRule="exact"/>
          <w:jc w:val="center"/>
        </w:trPr>
        <w:tc>
          <w:tcPr>
            <w:tcW w:w="4288" w:type="dxa"/>
            <w:gridSpan w:val="2"/>
            <w:tcMar>
              <w:left w:w="0" w:type="dxa"/>
              <w:right w:w="0" w:type="dxa"/>
            </w:tcMar>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4、社会消费品零售总额（亿元）</w:t>
            </w: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83.7</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w:t>
            </w:r>
          </w:p>
        </w:tc>
        <w:tc>
          <w:tcPr>
            <w:tcW w:w="761" w:type="dxa"/>
            <w:vAlign w:val="top"/>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75</w:t>
            </w:r>
          </w:p>
        </w:tc>
        <w:tc>
          <w:tcPr>
            <w:tcW w:w="975" w:type="dxa"/>
            <w:vAlign w:val="top"/>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8.2</w:t>
            </w:r>
          </w:p>
        </w:tc>
        <w:tc>
          <w:tcPr>
            <w:tcW w:w="1159"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预期性</w:t>
            </w:r>
          </w:p>
        </w:tc>
      </w:tr>
      <w:tr>
        <w:trPr>
          <w:trHeight w:val="560" w:hRule="exact"/>
          <w:jc w:val="center"/>
        </w:trPr>
        <w:tc>
          <w:tcPr>
            <w:tcW w:w="4288" w:type="dxa"/>
            <w:gridSpan w:val="2"/>
            <w:tcMar>
              <w:left w:w="0" w:type="dxa"/>
              <w:right w:w="0" w:type="dxa"/>
            </w:tcMar>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5、外贸进出口总额（万美元）</w:t>
            </w: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w w:val="80"/>
                <w:kern w:val="0"/>
                <w:szCs w:val="21"/>
              </w:rPr>
              <w:t>1.5</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61" w:type="dxa"/>
            <w:vAlign w:val="center"/>
          </w:tcPr>
          <w:p>
            <w:pPr>
              <w:widowControl/>
              <w:snapToGrid w:val="0"/>
              <w:jc w:val="center"/>
              <w:rPr>
                <w:rFonts w:hint="eastAsia" w:ascii="仿宋_GB2312" w:hAnsi="仿宋_GB2312" w:eastAsia="仿宋_GB2312" w:cs="仿宋_GB2312"/>
                <w:color w:val="000000"/>
                <w:w w:val="80"/>
                <w:kern w:val="0"/>
                <w:szCs w:val="21"/>
              </w:rPr>
            </w:pPr>
            <w:r>
              <w:rPr>
                <w:rFonts w:hint="eastAsia" w:ascii="仿宋_GB2312" w:hAnsi="仿宋_GB2312" w:eastAsia="仿宋_GB2312" w:cs="仿宋_GB2312"/>
                <w:color w:val="000000"/>
                <w:w w:val="80"/>
                <w:kern w:val="0"/>
                <w:szCs w:val="21"/>
              </w:rPr>
              <w:t>1.15</w:t>
            </w:r>
          </w:p>
        </w:tc>
        <w:tc>
          <w:tcPr>
            <w:tcW w:w="975" w:type="dxa"/>
            <w:vAlign w:val="center"/>
          </w:tcPr>
          <w:p>
            <w:pPr>
              <w:widowControl/>
              <w:snapToGrid w:val="0"/>
              <w:jc w:val="center"/>
              <w:rPr>
                <w:rFonts w:hint="eastAsia" w:ascii="仿宋_GB2312" w:hAnsi="仿宋_GB2312" w:eastAsia="仿宋_GB2312" w:cs="仿宋_GB2312"/>
                <w:color w:val="000000"/>
                <w:w w:val="80"/>
                <w:kern w:val="0"/>
                <w:szCs w:val="21"/>
              </w:rPr>
            </w:pPr>
            <w:r>
              <w:rPr>
                <w:rFonts w:hint="eastAsia" w:ascii="仿宋_GB2312" w:hAnsi="仿宋_GB2312" w:eastAsia="仿宋_GB2312" w:cs="仿宋_GB2312"/>
                <w:color w:val="000000"/>
                <w:w w:val="80"/>
                <w:kern w:val="0"/>
                <w:szCs w:val="21"/>
              </w:rPr>
              <w:t>22.3</w:t>
            </w:r>
          </w:p>
        </w:tc>
        <w:tc>
          <w:tcPr>
            <w:tcW w:w="1159"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预期性</w:t>
            </w:r>
          </w:p>
        </w:tc>
      </w:tr>
      <w:tr>
        <w:trPr>
          <w:trHeight w:val="578" w:hRule="exact"/>
          <w:jc w:val="center"/>
        </w:trPr>
        <w:tc>
          <w:tcPr>
            <w:tcW w:w="4288" w:type="dxa"/>
            <w:gridSpan w:val="2"/>
            <w:tcMar>
              <w:left w:w="0" w:type="dxa"/>
              <w:right w:w="0" w:type="dxa"/>
            </w:tcMar>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6、实际利用外商投资（万美元）</w:t>
            </w: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w w:val="80"/>
                <w:kern w:val="0"/>
                <w:szCs w:val="21"/>
              </w:rPr>
              <w:t>按下达目标确定</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61" w:type="dxa"/>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0.55</w:t>
            </w:r>
          </w:p>
        </w:tc>
        <w:tc>
          <w:tcPr>
            <w:tcW w:w="975" w:type="dxa"/>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4.9</w:t>
            </w:r>
          </w:p>
        </w:tc>
        <w:tc>
          <w:tcPr>
            <w:tcW w:w="1159"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预期性</w:t>
            </w:r>
          </w:p>
        </w:tc>
      </w:tr>
      <w:tr>
        <w:trPr>
          <w:trHeight w:val="340" w:hRule="exact"/>
          <w:jc w:val="center"/>
        </w:trPr>
        <w:tc>
          <w:tcPr>
            <w:tcW w:w="8841" w:type="dxa"/>
            <w:gridSpan w:val="8"/>
            <w:vAlign w:val="top"/>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b/>
                <w:bCs/>
                <w:color w:val="000000"/>
                <w:kern w:val="0"/>
                <w:szCs w:val="21"/>
              </w:rPr>
              <w:t>二、转型升级和自主创新</w:t>
            </w:r>
          </w:p>
        </w:tc>
      </w:tr>
      <w:tr>
        <w:trPr>
          <w:trHeight w:val="340" w:hRule="exact"/>
          <w:jc w:val="center"/>
        </w:trPr>
        <w:tc>
          <w:tcPr>
            <w:tcW w:w="4288" w:type="dxa"/>
            <w:gridSpan w:val="2"/>
            <w:tcMar>
              <w:left w:w="0" w:type="dxa"/>
              <w:right w:w="0" w:type="dxa"/>
            </w:tcMar>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7、服务业增加值比重（%）</w:t>
            </w: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30以上</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61" w:type="dxa"/>
            <w:vAlign w:val="top"/>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42.5</w:t>
            </w:r>
          </w:p>
        </w:tc>
        <w:tc>
          <w:tcPr>
            <w:tcW w:w="975" w:type="dxa"/>
            <w:vAlign w:val="top"/>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8.5</w:t>
            </w:r>
          </w:p>
        </w:tc>
        <w:tc>
          <w:tcPr>
            <w:tcW w:w="1159"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预期性</w:t>
            </w:r>
          </w:p>
        </w:tc>
      </w:tr>
      <w:tr>
        <w:trPr>
          <w:trHeight w:val="390" w:hRule="exact"/>
          <w:jc w:val="center"/>
        </w:trPr>
        <w:tc>
          <w:tcPr>
            <w:tcW w:w="4288" w:type="dxa"/>
            <w:gridSpan w:val="2"/>
            <w:tcMar>
              <w:left w:w="0" w:type="dxa"/>
              <w:right w:w="0" w:type="dxa"/>
            </w:tcMar>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8、常住人口城镇化率（%）</w:t>
            </w: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47.5</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 w:val="18"/>
                <w:szCs w:val="18"/>
              </w:rPr>
              <w:t>2个百分点</w:t>
            </w:r>
          </w:p>
        </w:tc>
        <w:tc>
          <w:tcPr>
            <w:tcW w:w="761" w:type="dxa"/>
            <w:vAlign w:val="top"/>
          </w:tcPr>
          <w:p>
            <w:pPr>
              <w:widowControl/>
              <w:snapToGrid w:val="0"/>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45.3</w:t>
            </w:r>
          </w:p>
        </w:tc>
        <w:tc>
          <w:tcPr>
            <w:tcW w:w="975" w:type="dxa"/>
            <w:vAlign w:val="top"/>
          </w:tcPr>
          <w:p>
            <w:pPr>
              <w:widowControl/>
              <w:snapToGrid w:val="0"/>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1.5</w:t>
            </w:r>
          </w:p>
        </w:tc>
        <w:tc>
          <w:tcPr>
            <w:tcW w:w="1159"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预期性</w:t>
            </w:r>
          </w:p>
        </w:tc>
      </w:tr>
      <w:tr>
        <w:trPr>
          <w:trHeight w:val="480" w:hRule="exact"/>
          <w:jc w:val="center"/>
        </w:trPr>
        <w:tc>
          <w:tcPr>
            <w:tcW w:w="4288" w:type="dxa"/>
            <w:gridSpan w:val="2"/>
            <w:tcMar>
              <w:left w:w="0" w:type="dxa"/>
              <w:right w:w="0" w:type="dxa"/>
            </w:tcMar>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9、研究与开发经费支出占生产总值比重（%）</w:t>
            </w: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0.25</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61" w:type="dxa"/>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0.6</w:t>
            </w:r>
          </w:p>
        </w:tc>
        <w:tc>
          <w:tcPr>
            <w:tcW w:w="975" w:type="dxa"/>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25.9</w:t>
            </w:r>
          </w:p>
        </w:tc>
        <w:tc>
          <w:tcPr>
            <w:tcW w:w="1159"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预期性</w:t>
            </w:r>
          </w:p>
        </w:tc>
      </w:tr>
      <w:tr>
        <w:trPr>
          <w:trHeight w:val="510" w:hRule="exact"/>
          <w:jc w:val="center"/>
        </w:trPr>
        <w:tc>
          <w:tcPr>
            <w:tcW w:w="4288" w:type="dxa"/>
            <w:gridSpan w:val="2"/>
            <w:tcMar>
              <w:left w:w="0" w:type="dxa"/>
              <w:right w:w="0" w:type="dxa"/>
            </w:tcMar>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10、每万人发明专利拥有量（件）</w:t>
            </w: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1.5</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61" w:type="dxa"/>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0.99</w:t>
            </w:r>
          </w:p>
        </w:tc>
        <w:tc>
          <w:tcPr>
            <w:tcW w:w="975" w:type="dxa"/>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159"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预期性</w:t>
            </w:r>
          </w:p>
        </w:tc>
      </w:tr>
      <w:tr>
        <w:trPr>
          <w:trHeight w:val="491" w:hRule="exact"/>
          <w:jc w:val="center"/>
        </w:trPr>
        <w:tc>
          <w:tcPr>
            <w:tcW w:w="4288" w:type="dxa"/>
            <w:gridSpan w:val="2"/>
            <w:tcMar>
              <w:left w:w="0" w:type="dxa"/>
              <w:right w:w="0" w:type="dxa"/>
            </w:tcMar>
            <w:vAlign w:val="center"/>
          </w:tcPr>
          <w:p>
            <w:pPr>
              <w:widowControl/>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11、畜牧业增加值占农业增加值比重（%）</w:t>
            </w:r>
          </w:p>
        </w:tc>
        <w:tc>
          <w:tcPr>
            <w:tcW w:w="763"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50以上</w:t>
            </w:r>
          </w:p>
        </w:tc>
        <w:tc>
          <w:tcPr>
            <w:tcW w:w="895" w:type="dxa"/>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61" w:type="dxa"/>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37.9</w:t>
            </w:r>
          </w:p>
        </w:tc>
        <w:tc>
          <w:tcPr>
            <w:tcW w:w="975" w:type="dxa"/>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1.4</w:t>
            </w:r>
          </w:p>
        </w:tc>
        <w:tc>
          <w:tcPr>
            <w:tcW w:w="1159" w:type="dxa"/>
            <w:gridSpan w:val="2"/>
            <w:tcMar>
              <w:left w:w="0" w:type="dxa"/>
              <w:right w:w="0" w:type="dxa"/>
            </w:tcMar>
            <w:vAlign w:val="center"/>
          </w:tcPr>
          <w:p>
            <w:pPr>
              <w:widowControl/>
              <w:snapToGrid w:val="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预期性</w:t>
            </w:r>
          </w:p>
        </w:tc>
      </w:tr>
      <w:tr>
        <w:trPr>
          <w:trHeight w:val="340" w:hRule="exact"/>
          <w:jc w:val="center"/>
        </w:trPr>
        <w:tc>
          <w:tcPr>
            <w:tcW w:w="8841" w:type="dxa"/>
            <w:gridSpan w:val="8"/>
            <w:vAlign w:val="top"/>
          </w:tcPr>
          <w:p>
            <w:pPr>
              <w:widowControl/>
              <w:snapToGrid w:val="0"/>
              <w:rPr>
                <w:rFonts w:ascii="仿宋_GB2312" w:hAnsi="仿宋" w:eastAsia="仿宋_GB2312" w:cs="仿宋"/>
                <w:color w:val="000000"/>
                <w:kern w:val="0"/>
                <w:szCs w:val="21"/>
              </w:rPr>
            </w:pPr>
            <w:r>
              <w:rPr>
                <w:rFonts w:hint="eastAsia" w:ascii="仿宋_GB2312" w:hAnsi="仿宋" w:eastAsia="仿宋_GB2312" w:cs="仿宋"/>
                <w:b/>
                <w:bCs/>
                <w:color w:val="000000"/>
                <w:kern w:val="0"/>
                <w:szCs w:val="21"/>
              </w:rPr>
              <w:t>三、生态建设和环境保护</w:t>
            </w:r>
          </w:p>
        </w:tc>
      </w:tr>
      <w:tr>
        <w:trPr>
          <w:trHeight w:val="45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12、耕地保有量（万公顷）</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4.47</w:t>
            </w:r>
          </w:p>
        </w:tc>
        <w:tc>
          <w:tcPr>
            <w:tcW w:w="761" w:type="dxa"/>
            <w:vAlign w:val="center"/>
          </w:tcPr>
          <w:p>
            <w:pPr>
              <w:widowControl/>
              <w:snapToGrid w:val="0"/>
              <w:jc w:val="center"/>
              <w:rPr>
                <w:rFonts w:hint="default" w:ascii="仿宋_GB2312" w:hAnsi="仿宋" w:eastAsia="仿宋_GB2312" w:cs="仿宋"/>
                <w:color w:val="000000"/>
                <w:kern w:val="0"/>
                <w:szCs w:val="21"/>
                <w:lang w:val="en-US" w:eastAsia="zh-CN"/>
              </w:rPr>
            </w:pPr>
            <w:r>
              <w:rPr>
                <w:rFonts w:hint="eastAsia" w:ascii="仿宋_GB2312" w:hAnsi="仿宋" w:eastAsia="仿宋_GB2312" w:cs="仿宋"/>
                <w:color w:val="000000"/>
                <w:kern w:val="0"/>
                <w:szCs w:val="21"/>
                <w:lang w:val="en-US" w:eastAsia="zh-CN"/>
              </w:rPr>
              <w:t>4.472</w:t>
            </w:r>
          </w:p>
        </w:tc>
        <w:tc>
          <w:tcPr>
            <w:tcW w:w="1015" w:type="dxa"/>
            <w:gridSpan w:val="2"/>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605"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13、万元工业增加值用水量（立方米）</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36</w:t>
            </w:r>
          </w:p>
        </w:tc>
        <w:tc>
          <w:tcPr>
            <w:tcW w:w="761" w:type="dxa"/>
            <w:vAlign w:val="center"/>
          </w:tcPr>
          <w:p>
            <w:pPr>
              <w:widowControl/>
              <w:snapToGrid w:val="0"/>
              <w:jc w:val="center"/>
              <w:rPr>
                <w:rFonts w:hint="eastAsia" w:ascii="仿宋_GB2312" w:hAnsi="仿宋" w:eastAsia="仿宋_GB2312" w:cs="仿宋"/>
                <w:color w:val="000000"/>
                <w:kern w:val="0"/>
                <w:szCs w:val="21"/>
                <w:lang w:val="en-US" w:eastAsia="zh-CN"/>
              </w:rPr>
            </w:pPr>
            <w:r>
              <w:rPr>
                <w:rFonts w:hint="eastAsia" w:ascii="仿宋_GB2312" w:hAnsi="仿宋" w:eastAsia="仿宋_GB2312" w:cs="仿宋"/>
                <w:color w:val="000000"/>
                <w:kern w:val="0"/>
                <w:szCs w:val="21"/>
                <w:lang w:val="en-US" w:eastAsia="zh-CN"/>
              </w:rPr>
              <w:t>32.3</w:t>
            </w:r>
          </w:p>
        </w:tc>
        <w:tc>
          <w:tcPr>
            <w:tcW w:w="1015" w:type="dxa"/>
            <w:gridSpan w:val="2"/>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525"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14、非化石能源占一次能源消费比重（%）</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7.0左右</w:t>
            </w:r>
          </w:p>
        </w:tc>
        <w:tc>
          <w:tcPr>
            <w:tcW w:w="1776" w:type="dxa"/>
            <w:gridSpan w:val="3"/>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完成上级下达目标</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555"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15、</w:t>
            </w:r>
            <w:r>
              <w:rPr>
                <w:rFonts w:hint="eastAsia" w:ascii="仿宋_GB2312" w:hAnsi="仿宋" w:eastAsia="仿宋_GB2312" w:cs="仿宋"/>
                <w:color w:val="000000"/>
                <w:w w:val="90"/>
                <w:kern w:val="0"/>
                <w:szCs w:val="21"/>
              </w:rPr>
              <w:t>万元生产总值能耗（2015年价）（吨标准煤）</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w w:val="80"/>
                <w:kern w:val="0"/>
                <w:szCs w:val="21"/>
              </w:rPr>
            </w:pPr>
            <w:r>
              <w:rPr>
                <w:rFonts w:hint="eastAsia" w:ascii="仿宋_GB2312" w:hAnsi="仿宋" w:eastAsia="仿宋_GB2312" w:cs="仿宋"/>
                <w:color w:val="000000"/>
                <w:w w:val="80"/>
                <w:kern w:val="0"/>
                <w:szCs w:val="21"/>
              </w:rPr>
              <w:t>按下达目标确定</w:t>
            </w:r>
          </w:p>
        </w:tc>
        <w:tc>
          <w:tcPr>
            <w:tcW w:w="761" w:type="dxa"/>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0.346</w:t>
            </w:r>
          </w:p>
        </w:tc>
        <w:tc>
          <w:tcPr>
            <w:tcW w:w="1015" w:type="dxa"/>
            <w:gridSpan w:val="2"/>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-7.99</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596"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16、万元生产总值二氧化碳排放量（2015年价）（吨标准煤）</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w w:val="80"/>
                <w:kern w:val="0"/>
                <w:szCs w:val="21"/>
              </w:rPr>
            </w:pPr>
            <w:r>
              <w:rPr>
                <w:rFonts w:hint="eastAsia" w:ascii="仿宋_GB2312" w:hAnsi="仿宋" w:eastAsia="仿宋_GB2312" w:cs="仿宋"/>
                <w:color w:val="000000"/>
                <w:w w:val="80"/>
                <w:kern w:val="0"/>
                <w:szCs w:val="21"/>
              </w:rPr>
              <w:t>按下达目标确定</w:t>
            </w:r>
          </w:p>
        </w:tc>
        <w:tc>
          <w:tcPr>
            <w:tcW w:w="1776" w:type="dxa"/>
            <w:gridSpan w:val="3"/>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完成上级下达目标</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1179" w:type="dxa"/>
            <w:vMerge w:val="restart"/>
            <w:tcBorders>
              <w:righ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17、主要污染物排放量</w:t>
            </w:r>
          </w:p>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五年累计下降</w:t>
            </w:r>
          </w:p>
        </w:tc>
        <w:tc>
          <w:tcPr>
            <w:tcW w:w="3109" w:type="dxa"/>
            <w:tcBorders>
              <w:lef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化学需氧量（%）</w:t>
            </w:r>
          </w:p>
        </w:tc>
        <w:tc>
          <w:tcPr>
            <w:tcW w:w="1658" w:type="dxa"/>
            <w:gridSpan w:val="2"/>
            <w:vMerge w:val="restart"/>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w w:val="80"/>
                <w:kern w:val="0"/>
                <w:szCs w:val="21"/>
              </w:rPr>
              <w:t>按下达目标确定</w:t>
            </w:r>
          </w:p>
        </w:tc>
        <w:tc>
          <w:tcPr>
            <w:tcW w:w="1776" w:type="dxa"/>
            <w:gridSpan w:val="3"/>
            <w:vMerge w:val="restart"/>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超额完成上级下达目标</w:t>
            </w:r>
          </w:p>
        </w:tc>
        <w:tc>
          <w:tcPr>
            <w:tcW w:w="1119" w:type="dxa"/>
            <w:vMerge w:val="restart"/>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1179" w:type="dxa"/>
            <w:vMerge w:val="continue"/>
            <w:tcBorders>
              <w:righ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p>
        </w:tc>
        <w:tc>
          <w:tcPr>
            <w:tcW w:w="3109" w:type="dxa"/>
            <w:tcBorders>
              <w:lef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二氧化硫（%）</w:t>
            </w:r>
          </w:p>
        </w:tc>
        <w:tc>
          <w:tcPr>
            <w:tcW w:w="1658" w:type="dxa"/>
            <w:gridSpan w:val="2"/>
            <w:vMerge w:val="continue"/>
            <w:tcMar>
              <w:left w:w="0" w:type="dxa"/>
              <w:right w:w="0" w:type="dxa"/>
            </w:tcMar>
            <w:vAlign w:val="center"/>
          </w:tcPr>
          <w:p>
            <w:pPr>
              <w:widowControl/>
              <w:snapToGrid w:val="0"/>
              <w:jc w:val="center"/>
              <w:rPr>
                <w:rFonts w:ascii="仿宋_GB2312" w:hAnsi="仿宋" w:eastAsia="仿宋_GB2312" w:cs="仿宋"/>
                <w:color w:val="000000"/>
                <w:kern w:val="0"/>
                <w:szCs w:val="21"/>
              </w:rPr>
            </w:pPr>
          </w:p>
        </w:tc>
        <w:tc>
          <w:tcPr>
            <w:tcW w:w="1776" w:type="dxa"/>
            <w:gridSpan w:val="3"/>
            <w:vMerge w:val="continue"/>
            <w:vAlign w:val="top"/>
          </w:tcPr>
          <w:p>
            <w:pPr>
              <w:widowControl/>
              <w:snapToGrid w:val="0"/>
              <w:jc w:val="center"/>
              <w:rPr>
                <w:rFonts w:ascii="仿宋_GB2312" w:hAnsi="仿宋" w:eastAsia="仿宋_GB2312" w:cs="仿宋"/>
                <w:color w:val="000000"/>
                <w:kern w:val="0"/>
                <w:szCs w:val="21"/>
              </w:rPr>
            </w:pPr>
          </w:p>
        </w:tc>
        <w:tc>
          <w:tcPr>
            <w:tcW w:w="1119" w:type="dxa"/>
            <w:vMerge w:val="continue"/>
            <w:tcMar>
              <w:left w:w="0" w:type="dxa"/>
              <w:right w:w="0" w:type="dxa"/>
            </w:tcMar>
            <w:vAlign w:val="center"/>
          </w:tcPr>
          <w:p>
            <w:pPr>
              <w:widowControl/>
              <w:snapToGrid w:val="0"/>
              <w:jc w:val="center"/>
              <w:rPr>
                <w:rFonts w:ascii="仿宋_GB2312" w:hAnsi="仿宋" w:eastAsia="仿宋_GB2312" w:cs="仿宋"/>
                <w:color w:val="000000"/>
                <w:kern w:val="0"/>
                <w:szCs w:val="21"/>
              </w:rPr>
            </w:pPr>
          </w:p>
        </w:tc>
      </w:tr>
      <w:tr>
        <w:trPr>
          <w:trHeight w:val="340" w:hRule="exact"/>
          <w:jc w:val="center"/>
        </w:trPr>
        <w:tc>
          <w:tcPr>
            <w:tcW w:w="1179" w:type="dxa"/>
            <w:vMerge w:val="continue"/>
            <w:tcBorders>
              <w:righ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p>
        </w:tc>
        <w:tc>
          <w:tcPr>
            <w:tcW w:w="3109" w:type="dxa"/>
            <w:tcBorders>
              <w:lef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氨氮（%）</w:t>
            </w:r>
          </w:p>
        </w:tc>
        <w:tc>
          <w:tcPr>
            <w:tcW w:w="1658" w:type="dxa"/>
            <w:gridSpan w:val="2"/>
            <w:vMerge w:val="continue"/>
            <w:tcMar>
              <w:left w:w="0" w:type="dxa"/>
              <w:right w:w="0" w:type="dxa"/>
            </w:tcMar>
            <w:vAlign w:val="center"/>
          </w:tcPr>
          <w:p>
            <w:pPr>
              <w:widowControl/>
              <w:snapToGrid w:val="0"/>
              <w:jc w:val="center"/>
              <w:rPr>
                <w:rFonts w:ascii="仿宋_GB2312" w:hAnsi="仿宋" w:eastAsia="仿宋_GB2312" w:cs="仿宋"/>
                <w:color w:val="000000"/>
                <w:w w:val="66"/>
                <w:kern w:val="0"/>
                <w:szCs w:val="21"/>
              </w:rPr>
            </w:pPr>
          </w:p>
        </w:tc>
        <w:tc>
          <w:tcPr>
            <w:tcW w:w="1776" w:type="dxa"/>
            <w:gridSpan w:val="3"/>
            <w:vMerge w:val="continue"/>
            <w:vAlign w:val="top"/>
          </w:tcPr>
          <w:p>
            <w:pPr>
              <w:widowControl/>
              <w:snapToGrid w:val="0"/>
              <w:jc w:val="center"/>
              <w:rPr>
                <w:rFonts w:ascii="仿宋_GB2312" w:hAnsi="仿宋" w:eastAsia="仿宋_GB2312" w:cs="仿宋"/>
                <w:color w:val="000000"/>
                <w:w w:val="66"/>
                <w:kern w:val="0"/>
                <w:szCs w:val="21"/>
              </w:rPr>
            </w:pPr>
          </w:p>
        </w:tc>
        <w:tc>
          <w:tcPr>
            <w:tcW w:w="1119" w:type="dxa"/>
            <w:vMerge w:val="continue"/>
            <w:tcMar>
              <w:left w:w="0" w:type="dxa"/>
              <w:right w:w="0" w:type="dxa"/>
            </w:tcMar>
            <w:vAlign w:val="center"/>
          </w:tcPr>
          <w:p>
            <w:pPr>
              <w:widowControl/>
              <w:snapToGrid w:val="0"/>
              <w:jc w:val="center"/>
              <w:rPr>
                <w:rFonts w:ascii="仿宋_GB2312" w:hAnsi="仿宋" w:eastAsia="仿宋_GB2312" w:cs="仿宋"/>
                <w:color w:val="000000"/>
                <w:kern w:val="0"/>
                <w:szCs w:val="21"/>
              </w:rPr>
            </w:pPr>
          </w:p>
        </w:tc>
      </w:tr>
      <w:tr>
        <w:trPr>
          <w:trHeight w:val="340" w:hRule="exact"/>
          <w:jc w:val="center"/>
        </w:trPr>
        <w:tc>
          <w:tcPr>
            <w:tcW w:w="1179" w:type="dxa"/>
            <w:vMerge w:val="continue"/>
            <w:tcBorders>
              <w:righ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p>
        </w:tc>
        <w:tc>
          <w:tcPr>
            <w:tcW w:w="3109" w:type="dxa"/>
            <w:tcBorders>
              <w:lef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氮氧化物（%）</w:t>
            </w:r>
          </w:p>
        </w:tc>
        <w:tc>
          <w:tcPr>
            <w:tcW w:w="1658" w:type="dxa"/>
            <w:gridSpan w:val="2"/>
            <w:vMerge w:val="continue"/>
            <w:tcMar>
              <w:left w:w="0" w:type="dxa"/>
              <w:right w:w="0" w:type="dxa"/>
            </w:tcMar>
            <w:vAlign w:val="center"/>
          </w:tcPr>
          <w:p>
            <w:pPr>
              <w:widowControl/>
              <w:snapToGrid w:val="0"/>
              <w:jc w:val="center"/>
              <w:rPr>
                <w:rFonts w:ascii="仿宋_GB2312" w:hAnsi="仿宋" w:eastAsia="仿宋_GB2312" w:cs="仿宋"/>
                <w:color w:val="000000"/>
                <w:w w:val="66"/>
                <w:kern w:val="0"/>
                <w:szCs w:val="21"/>
              </w:rPr>
            </w:pPr>
          </w:p>
        </w:tc>
        <w:tc>
          <w:tcPr>
            <w:tcW w:w="1776" w:type="dxa"/>
            <w:gridSpan w:val="3"/>
            <w:vMerge w:val="continue"/>
            <w:vAlign w:val="top"/>
          </w:tcPr>
          <w:p>
            <w:pPr>
              <w:widowControl/>
              <w:snapToGrid w:val="0"/>
              <w:jc w:val="center"/>
              <w:rPr>
                <w:rFonts w:ascii="仿宋_GB2312" w:hAnsi="仿宋" w:eastAsia="仿宋_GB2312" w:cs="仿宋"/>
                <w:color w:val="000000"/>
                <w:w w:val="66"/>
                <w:kern w:val="0"/>
                <w:szCs w:val="21"/>
              </w:rPr>
            </w:pPr>
          </w:p>
        </w:tc>
        <w:tc>
          <w:tcPr>
            <w:tcW w:w="1119" w:type="dxa"/>
            <w:vMerge w:val="continue"/>
            <w:tcMar>
              <w:left w:w="0" w:type="dxa"/>
              <w:right w:w="0" w:type="dxa"/>
            </w:tcMar>
            <w:vAlign w:val="center"/>
          </w:tcPr>
          <w:p>
            <w:pPr>
              <w:widowControl/>
              <w:snapToGrid w:val="0"/>
              <w:jc w:val="center"/>
              <w:rPr>
                <w:rFonts w:ascii="仿宋_GB2312" w:hAnsi="仿宋" w:eastAsia="仿宋_GB2312" w:cs="仿宋"/>
                <w:color w:val="000000"/>
                <w:kern w:val="0"/>
                <w:szCs w:val="21"/>
              </w:rPr>
            </w:pPr>
          </w:p>
        </w:tc>
      </w:tr>
      <w:tr>
        <w:trPr>
          <w:trHeight w:val="340" w:hRule="exact"/>
          <w:jc w:val="center"/>
        </w:trPr>
        <w:tc>
          <w:tcPr>
            <w:tcW w:w="1179" w:type="dxa"/>
            <w:vMerge w:val="restart"/>
            <w:tcBorders>
              <w:righ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18、森林增长</w:t>
            </w:r>
          </w:p>
        </w:tc>
        <w:tc>
          <w:tcPr>
            <w:tcW w:w="3109" w:type="dxa"/>
            <w:tcBorders>
              <w:lef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林木覆盖率（%）</w:t>
            </w:r>
          </w:p>
        </w:tc>
        <w:tc>
          <w:tcPr>
            <w:tcW w:w="1658" w:type="dxa"/>
            <w:gridSpan w:val="2"/>
            <w:vMerge w:val="restart"/>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w w:val="80"/>
                <w:kern w:val="0"/>
                <w:szCs w:val="21"/>
              </w:rPr>
              <w:t>按下达目标确定</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w:t>
            </w:r>
            <w:r>
              <w:rPr>
                <w:rFonts w:ascii="仿宋_GB2312" w:hAnsi="仿宋" w:eastAsia="仿宋_GB2312" w:cs="仿宋"/>
                <w:color w:val="000000"/>
                <w:kern w:val="0"/>
                <w:szCs w:val="21"/>
              </w:rPr>
              <w:t>7.11</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vMerge w:val="restart"/>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1179" w:type="dxa"/>
            <w:vMerge w:val="continue"/>
            <w:tcBorders>
              <w:righ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p>
        </w:tc>
        <w:tc>
          <w:tcPr>
            <w:tcW w:w="3109" w:type="dxa"/>
            <w:tcBorders>
              <w:left w:val="single" w:color="auto" w:sz="4" w:space="0"/>
            </w:tcBorders>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森林蓄积量（万立方米）</w:t>
            </w:r>
          </w:p>
        </w:tc>
        <w:tc>
          <w:tcPr>
            <w:tcW w:w="1658" w:type="dxa"/>
            <w:gridSpan w:val="2"/>
            <w:vMerge w:val="continue"/>
            <w:tcMar>
              <w:left w:w="0" w:type="dxa"/>
              <w:right w:w="0" w:type="dxa"/>
            </w:tcMar>
            <w:vAlign w:val="center"/>
          </w:tcPr>
          <w:p>
            <w:pPr>
              <w:widowControl/>
              <w:snapToGrid w:val="0"/>
              <w:jc w:val="center"/>
              <w:rPr>
                <w:rFonts w:ascii="仿宋_GB2312" w:hAnsi="仿宋" w:eastAsia="仿宋_GB2312" w:cs="仿宋"/>
                <w:color w:val="000000"/>
                <w:kern w:val="0"/>
                <w:szCs w:val="21"/>
              </w:rPr>
            </w:pP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45.9</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vMerge w:val="continue"/>
            <w:tcMar>
              <w:left w:w="0" w:type="dxa"/>
              <w:right w:w="0" w:type="dxa"/>
            </w:tcMar>
            <w:vAlign w:val="center"/>
          </w:tcPr>
          <w:p>
            <w:pPr>
              <w:widowControl/>
              <w:snapToGrid w:val="0"/>
              <w:jc w:val="center"/>
              <w:rPr>
                <w:rFonts w:ascii="仿宋_GB2312" w:hAnsi="仿宋" w:eastAsia="仿宋_GB2312" w:cs="仿宋"/>
                <w:color w:val="000000"/>
                <w:kern w:val="0"/>
                <w:szCs w:val="21"/>
              </w:rPr>
            </w:pPr>
          </w:p>
        </w:tc>
      </w:tr>
      <w:tr>
        <w:trPr>
          <w:trHeight w:val="623"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19、空气质量达标率（%）</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w w:val="80"/>
                <w:kern w:val="0"/>
                <w:szCs w:val="21"/>
              </w:rPr>
              <w:t>按下达目标确定</w:t>
            </w:r>
          </w:p>
        </w:tc>
        <w:tc>
          <w:tcPr>
            <w:tcW w:w="1776" w:type="dxa"/>
            <w:gridSpan w:val="3"/>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超额完成上级下达目标</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20、安全饮用水达标率（%）</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95以上</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100</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21、水环境质量达标率（%）</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w w:val="80"/>
                <w:kern w:val="0"/>
                <w:szCs w:val="21"/>
              </w:rPr>
              <w:t>按下达目标确定</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100</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22、城区污水集中处理率（%）</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80以上</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95.1</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23、城区生活垃圾无害化处理率（%）</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100</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100</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8841" w:type="dxa"/>
            <w:gridSpan w:val="8"/>
            <w:vAlign w:val="top"/>
          </w:tcPr>
          <w:p>
            <w:pPr>
              <w:widowControl/>
              <w:snapToGrid w:val="0"/>
              <w:rPr>
                <w:rFonts w:ascii="仿宋_GB2312" w:hAnsi="仿宋" w:eastAsia="仿宋_GB2312" w:cs="仿宋"/>
                <w:color w:val="000000"/>
                <w:kern w:val="0"/>
                <w:szCs w:val="21"/>
              </w:rPr>
            </w:pPr>
            <w:r>
              <w:rPr>
                <w:rFonts w:hint="eastAsia" w:ascii="仿宋_GB2312" w:hAnsi="仿宋" w:eastAsia="仿宋_GB2312" w:cs="仿宋"/>
                <w:b/>
                <w:bCs/>
                <w:color w:val="000000"/>
                <w:kern w:val="0"/>
                <w:szCs w:val="21"/>
              </w:rPr>
              <w:t>四、社会发展和民生改善</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24、人口自然增长率（‰）</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7.2以内</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5.7</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25、贫困发生率（%）</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小于0.5</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0</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26、城镇调查失业率（%）</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5以内</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2.65</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预期性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27、五年城镇新增就业人数（万人）</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2.5</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3.8466</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预期性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28、城镇保障性安居工程建设（套）</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w w:val="80"/>
                <w:kern w:val="0"/>
                <w:szCs w:val="21"/>
              </w:rPr>
              <w:t>按下达目标确定</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12417</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29、城镇居民人均可支配收入（元）</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29989</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32243</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11.6</w:t>
            </w:r>
          </w:p>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10</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预期性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30、农村居民人均纯收入（元）</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15876</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13887</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8.1</w:t>
            </w:r>
          </w:p>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11</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预期性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31、九年义务教育巩固率（%）</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100</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92</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32、高中阶段毛入学率（%）</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95</w:t>
            </w:r>
          </w:p>
        </w:tc>
        <w:tc>
          <w:tcPr>
            <w:tcW w:w="761" w:type="dxa"/>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85</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预期性</w:t>
            </w:r>
          </w:p>
        </w:tc>
      </w:tr>
      <w:tr>
        <w:trPr>
          <w:trHeight w:val="340"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33、每千人执业（助理）医师数（人）</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2.5</w:t>
            </w:r>
          </w:p>
        </w:tc>
        <w:tc>
          <w:tcPr>
            <w:tcW w:w="761" w:type="dxa"/>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2.6</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p>
        </w:tc>
      </w:tr>
      <w:tr>
        <w:trPr>
          <w:trHeight w:val="419" w:hRule="exact"/>
          <w:jc w:val="center"/>
        </w:trPr>
        <w:tc>
          <w:tcPr>
            <w:tcW w:w="4288" w:type="dxa"/>
            <w:gridSpan w:val="2"/>
            <w:tcMar>
              <w:left w:w="0" w:type="dxa"/>
              <w:right w:w="0" w:type="dxa"/>
            </w:tcMar>
            <w:vAlign w:val="center"/>
          </w:tcPr>
          <w:p>
            <w:pPr>
              <w:widowControl/>
              <w:snapToGrid w:val="0"/>
              <w:jc w:val="lef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34、平均每千名老人养老床位数（张）</w:t>
            </w:r>
          </w:p>
        </w:tc>
        <w:tc>
          <w:tcPr>
            <w:tcW w:w="1658" w:type="dxa"/>
            <w:gridSpan w:val="2"/>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35</w:t>
            </w:r>
          </w:p>
        </w:tc>
        <w:tc>
          <w:tcPr>
            <w:tcW w:w="761" w:type="dxa"/>
            <w:vAlign w:val="center"/>
          </w:tcPr>
          <w:p>
            <w:pPr>
              <w:widowControl/>
              <w:snapToGrid w:val="0"/>
              <w:jc w:val="center"/>
              <w:rPr>
                <w:rFonts w:ascii="仿宋_GB2312" w:hAnsi="仿宋" w:eastAsia="仿宋_GB2312" w:cs="仿宋"/>
                <w:color w:val="000000"/>
                <w:kern w:val="0"/>
                <w:szCs w:val="21"/>
              </w:rPr>
            </w:pPr>
            <w:r>
              <w:rPr>
                <w:rFonts w:ascii="仿宋_GB2312" w:hAnsi="仿宋" w:eastAsia="仿宋_GB2312" w:cs="仿宋"/>
                <w:color w:val="000000"/>
                <w:kern w:val="0"/>
                <w:szCs w:val="21"/>
              </w:rPr>
              <w:t>40</w:t>
            </w:r>
          </w:p>
        </w:tc>
        <w:tc>
          <w:tcPr>
            <w:tcW w:w="1015" w:type="dxa"/>
            <w:gridSpan w:val="2"/>
            <w:vAlign w:val="top"/>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w:t>
            </w:r>
          </w:p>
        </w:tc>
        <w:tc>
          <w:tcPr>
            <w:tcW w:w="1119" w:type="dxa"/>
            <w:tcMar>
              <w:left w:w="0" w:type="dxa"/>
              <w:right w:w="0" w:type="dxa"/>
            </w:tcMar>
            <w:vAlign w:val="center"/>
          </w:tcPr>
          <w:p>
            <w:pPr>
              <w:widowControl/>
              <w:snapToGrid w:val="0"/>
              <w:jc w:val="center"/>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约束性</w:t>
            </w:r>
            <w:bookmarkEnd w:id="6"/>
          </w:p>
        </w:tc>
      </w:tr>
    </w:tbl>
    <w:p>
      <w:pPr>
        <w:pStyle w:val="42"/>
        <w:spacing w:beforeLines="50" w:afterLines="50"/>
        <w:rPr>
          <w:b w:val="0"/>
          <w:bCs/>
          <w:color w:val="000000"/>
          <w:szCs w:val="32"/>
        </w:rPr>
      </w:pPr>
      <w:bookmarkStart w:id="7" w:name="_Toc6912"/>
      <w:bookmarkStart w:id="8" w:name="_Toc62991712"/>
      <w:r>
        <w:rPr>
          <w:rFonts w:hint="eastAsia"/>
          <w:b w:val="0"/>
          <w:bCs/>
          <w:color w:val="000000"/>
          <w:szCs w:val="32"/>
        </w:rPr>
        <w:t>第二章  “十四五”时期面临的发展形势</w:t>
      </w:r>
      <w:bookmarkEnd w:id="7"/>
      <w:bookmarkEnd w:id="8"/>
    </w:p>
    <w:p>
      <w:pPr>
        <w:overflowPunct w:val="0"/>
        <w:snapToGrid w:val="0"/>
        <w:spacing w:line="58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“十四五”时期，郏县在全面建成小康社会的基础上，将进入攻坚转型、高质量发展的关键阶段，由</w:t>
      </w:r>
      <w:r>
        <w:rPr>
          <w:rFonts w:ascii="仿宋_GB2312" w:hAnsi="仿宋_GB2312" w:eastAsia="仿宋_GB2312" w:cs="仿宋_GB2312"/>
          <w:color w:val="000000"/>
          <w:sz w:val="32"/>
          <w:szCs w:val="32"/>
        </w:rPr>
        <w:t>脱贫攻坚向乡村振兴转变，</w:t>
      </w:r>
      <w:r>
        <w:rPr>
          <w:rFonts w:hint="eastAsia" w:ascii="仿宋_GB2312" w:hAnsi="仿宋_GB2312" w:eastAsia="仿宋_GB2312" w:cs="仿宋_GB2312"/>
          <w:color w:val="000000"/>
          <w:sz w:val="32"/>
          <w:szCs w:val="32"/>
        </w:rPr>
        <w:t>由</w:t>
      </w:r>
      <w:r>
        <w:rPr>
          <w:rFonts w:ascii="仿宋_GB2312" w:hAnsi="仿宋_GB2312" w:eastAsia="仿宋_GB2312" w:cs="仿宋_GB2312"/>
          <w:color w:val="000000"/>
          <w:sz w:val="32"/>
          <w:szCs w:val="32"/>
        </w:rPr>
        <w:t>传统要素支撑向科技创新驱动转换，发展的内外部环境将发生一系列深刻变化，经济社会发展既面临诸多有利条件和重大机遇，也存在不少</w:t>
      </w:r>
      <w:r>
        <w:rPr>
          <w:rFonts w:hint="eastAsia" w:ascii="仿宋_GB2312" w:hAnsi="仿宋_GB2312" w:eastAsia="仿宋_GB2312" w:cs="仿宋_GB2312"/>
          <w:color w:val="000000"/>
          <w:sz w:val="32"/>
          <w:szCs w:val="32"/>
        </w:rPr>
        <w:t>风险</w:t>
      </w:r>
      <w:r>
        <w:rPr>
          <w:rFonts w:ascii="仿宋_GB2312" w:hAnsi="仿宋_GB2312" w:eastAsia="仿宋_GB2312" w:cs="仿宋_GB2312"/>
          <w:color w:val="000000"/>
          <w:sz w:val="32"/>
          <w:szCs w:val="32"/>
        </w:rPr>
        <w:t>挑战。</w:t>
      </w:r>
    </w:p>
    <w:p>
      <w:pPr>
        <w:overflowPunct w:val="0"/>
        <w:snapToGrid w:val="0"/>
        <w:spacing w:line="580" w:lineRule="exact"/>
        <w:ind w:firstLine="643" w:firstLineChars="200"/>
        <w:textAlignment w:val="baseline"/>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从国际来看，</w:t>
      </w:r>
      <w:r>
        <w:rPr>
          <w:rFonts w:hint="eastAsia" w:ascii="仿宋_GB2312" w:hAnsi="仿宋_GB2312" w:eastAsia="仿宋_GB2312" w:cs="仿宋_GB2312"/>
          <w:color w:val="000000"/>
          <w:sz w:val="32"/>
          <w:szCs w:val="32"/>
        </w:rPr>
        <w:t>世界正经历百年未有之大变局，新一轮科技革命和产业变革深入发展，新冠肺炎疫情持续蔓延、影响深远，不稳定性不确定性明显增加。</w:t>
      </w:r>
    </w:p>
    <w:p>
      <w:pPr>
        <w:overflowPunct w:val="0"/>
        <w:snapToGrid w:val="0"/>
        <w:spacing w:line="580" w:lineRule="exact"/>
        <w:ind w:firstLine="643" w:firstLineChars="200"/>
        <w:textAlignment w:val="baseline"/>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从国内来看，</w:t>
      </w:r>
      <w:r>
        <w:rPr>
          <w:rFonts w:hint="eastAsia" w:ascii="仿宋_GB2312" w:hAnsi="仿宋_GB2312" w:eastAsia="仿宋_GB2312" w:cs="仿宋_GB2312"/>
          <w:color w:val="000000"/>
          <w:sz w:val="32"/>
          <w:szCs w:val="32"/>
        </w:rPr>
        <w:t>我国已转向高质量发展阶段，制度优势显著，治理效能提升，经济长期向好，人力资源丰富，市场空间广阔，发展韧性强劲，继续发展具有多方面有利条件。</w:t>
      </w:r>
    </w:p>
    <w:p>
      <w:pPr>
        <w:overflowPunct w:val="0"/>
        <w:snapToGrid w:val="0"/>
        <w:spacing w:line="580" w:lineRule="exact"/>
        <w:ind w:firstLine="643" w:firstLineChars="200"/>
        <w:textAlignment w:val="baseline"/>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从全省来看，</w:t>
      </w:r>
      <w:r>
        <w:rPr>
          <w:rFonts w:hint="eastAsia" w:ascii="仿宋_GB2312" w:hAnsi="仿宋_GB2312" w:eastAsia="仿宋_GB2312" w:cs="仿宋_GB2312"/>
          <w:color w:val="000000"/>
          <w:sz w:val="32"/>
          <w:szCs w:val="32"/>
        </w:rPr>
        <w:t>我省描绘出打造“四个强省、一个高地、一个家园”发展蓝图，深入实施系列国家重大战略，发展层次跃升、发展空间拓展。</w:t>
      </w:r>
    </w:p>
    <w:p>
      <w:pPr>
        <w:overflowPunct w:val="0"/>
        <w:snapToGrid w:val="0"/>
        <w:spacing w:line="580" w:lineRule="exact"/>
        <w:ind w:firstLine="643" w:firstLineChars="200"/>
        <w:textAlignment w:val="baseline"/>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从全市来看，</w:t>
      </w:r>
      <w:r>
        <w:rPr>
          <w:rFonts w:hint="eastAsia" w:ascii="仿宋_GB2312" w:hAnsi="仿宋_GB2312" w:eastAsia="仿宋_GB2312" w:cs="仿宋_GB2312"/>
          <w:color w:val="000000"/>
          <w:sz w:val="32"/>
          <w:szCs w:val="32"/>
        </w:rPr>
        <w:t>我市提出了建设全国转型发展示范市，争当中原更加出彩样板区的战略目标，打造“七地一枢纽”的战略布局，转型发展的抓手更实，目标实现的路径更准，为我县指明了方向、提供了遵循。</w:t>
      </w:r>
    </w:p>
    <w:p>
      <w:pPr>
        <w:overflowPunct w:val="0"/>
        <w:snapToGrid w:val="0"/>
        <w:spacing w:line="580" w:lineRule="exact"/>
        <w:ind w:firstLine="643" w:firstLineChars="200"/>
        <w:textAlignment w:val="baseline"/>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从周边来看，</w:t>
      </w:r>
      <w:r>
        <w:rPr>
          <w:rFonts w:hint="eastAsia" w:ascii="仿宋_GB2312" w:hAnsi="仿宋_GB2312" w:eastAsia="仿宋_GB2312" w:cs="仿宋_GB2312"/>
          <w:color w:val="000000"/>
          <w:sz w:val="32"/>
          <w:szCs w:val="32"/>
        </w:rPr>
        <w:t>与襄城、禹州、汝州、宝丰等县市相比，无论在地区生产总值还是在综合实力上，我县都有不小差距，短期内通过“量”的积累实现赶超很难，只有借助“质”的提升，才能厚积成势实现“弯道超车”。</w:t>
      </w:r>
    </w:p>
    <w:p>
      <w:pPr>
        <w:overflowPunct w:val="0"/>
        <w:snapToGrid w:val="0"/>
        <w:spacing w:line="580" w:lineRule="exact"/>
        <w:ind w:firstLine="643" w:firstLineChars="200"/>
        <w:textAlignment w:val="baseline"/>
        <w:rPr>
          <w:rFonts w:ascii="仿宋_GB2312" w:hAnsi="仿宋_GB2312" w:eastAsia="仿宋_GB2312" w:cs="仿宋_GB2312"/>
          <w:color w:val="000000"/>
          <w:sz w:val="32"/>
          <w:szCs w:val="32"/>
        </w:rPr>
      </w:pPr>
      <w:r>
        <w:rPr>
          <w:rFonts w:ascii="楷体_GB2312" w:hAnsi="楷体_GB2312" w:eastAsia="楷体_GB2312" w:cs="楷体_GB2312"/>
          <w:b/>
          <w:bCs/>
          <w:color w:val="000000"/>
          <w:sz w:val="32"/>
          <w:szCs w:val="32"/>
        </w:rPr>
        <w:t>从</w:t>
      </w:r>
      <w:r>
        <w:rPr>
          <w:rFonts w:hint="eastAsia" w:ascii="楷体_GB2312" w:hAnsi="楷体_GB2312" w:eastAsia="楷体_GB2312" w:cs="楷体_GB2312"/>
          <w:b/>
          <w:bCs/>
          <w:color w:val="000000"/>
          <w:sz w:val="32"/>
          <w:szCs w:val="32"/>
        </w:rPr>
        <w:t>自身</w:t>
      </w:r>
      <w:r>
        <w:rPr>
          <w:rFonts w:ascii="楷体_GB2312" w:hAnsi="楷体_GB2312" w:eastAsia="楷体_GB2312" w:cs="楷体_GB2312"/>
          <w:b/>
          <w:bCs/>
          <w:color w:val="000000"/>
          <w:sz w:val="32"/>
          <w:szCs w:val="32"/>
        </w:rPr>
        <w:t>来看</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color w:val="000000"/>
          <w:sz w:val="32"/>
          <w:szCs w:val="32"/>
        </w:rPr>
        <w:t>我县进入高铁时代，交通区位优势更加凸显；郏县红牛、铸铁锅、文旅康养、特色美食等产业，积累了良好基础；</w:t>
      </w:r>
      <w:r>
        <w:rPr>
          <w:rFonts w:ascii="仿宋_GB2312" w:hAnsi="仿宋_GB2312" w:eastAsia="仿宋_GB2312" w:cs="仿宋_GB2312"/>
          <w:color w:val="000000"/>
          <w:sz w:val="32"/>
          <w:szCs w:val="32"/>
        </w:rPr>
        <w:t>城乡要素实现双向流通，生态优势正逐渐转化为产业优势，多项工作走在了全省、全国前列，</w:t>
      </w:r>
      <w:r>
        <w:rPr>
          <w:rFonts w:hint="eastAsia" w:ascii="仿宋_GB2312" w:hAnsi="仿宋_GB2312" w:eastAsia="仿宋_GB2312" w:cs="仿宋_GB2312"/>
          <w:color w:val="000000"/>
          <w:sz w:val="32"/>
          <w:szCs w:val="32"/>
        </w:rPr>
        <w:t>郏县的知名度、美誉度进一步提升，这些都为我县高质量发展提供了多点发力、遍地开花的基础优势。同时我们也要清醒认识到，我县主导产业带动能力不强，传统产业体量不大，特色产业还没有形成规模，交通区位优势还没有充分彰显，生态环境制约趋紧，创新驱动发展能力不足，要素瓶颈依然存在，民生领域还存在短板，社会治理还有弱项，各类风险隐患依然较多。</w:t>
      </w:r>
    </w:p>
    <w:p>
      <w:pPr>
        <w:widowControl w:val="0"/>
        <w:numPr>
          <w:numId w:val="0"/>
        </w:numPr>
        <w:pBdr>
          <w:bottom w:val="single" w:color="FFFFFF" w:sz="4" w:space="31"/>
        </w:pBdr>
        <w:tabs>
          <w:tab w:val="left" w:pos="1440"/>
        </w:tabs>
        <w:wordWrap/>
        <w:overflowPunct w:val="0"/>
        <w:adjustRightInd/>
        <w:snapToGrid/>
        <w:spacing w:before="0" w:line="540" w:lineRule="exact"/>
        <w:ind w:left="0" w:leftChars="0" w:right="0" w:firstLine="640" w:firstLineChars="200"/>
        <w:jc w:val="both"/>
        <w:textAlignment w:val="auto"/>
        <w:outlineLvl w:val="9"/>
        <w:rPr>
          <w:color w:val="000000"/>
        </w:rPr>
      </w:pPr>
      <w:r>
        <w:rPr>
          <w:rFonts w:hint="eastAsia" w:ascii="仿宋_GB2312" w:hAnsi="仿宋_GB2312" w:eastAsia="仿宋_GB2312" w:cs="仿宋_GB2312"/>
          <w:color w:val="000000"/>
          <w:sz w:val="32"/>
          <w:szCs w:val="32"/>
        </w:rPr>
        <w:t>总体上看，</w:t>
      </w:r>
      <w:r>
        <w:rPr>
          <w:rFonts w:hint="eastAsia" w:ascii="仿宋_GB2312" w:hAnsi="仿宋_GB2312" w:eastAsia="仿宋_GB2312" w:cs="仿宋_GB2312"/>
          <w:color w:val="000000"/>
          <w:spacing w:val="0"/>
          <w:kern w:val="0"/>
          <w:sz w:val="32"/>
          <w:szCs w:val="32"/>
          <w:lang w:val="en-US" w:eastAsia="zh-CN"/>
        </w:rPr>
        <w:t>郏县正处于发展机遇的集中期、优势潜能的释放期、动能培育的成长期、跨越赶超的关键期。我们必须深刻把握“四期叠加”的历史方位。</w:t>
      </w:r>
      <w:r>
        <w:rPr>
          <w:rFonts w:hint="eastAsia" w:ascii="仿宋_GB2312" w:hAnsi="仿宋_GB2312" w:eastAsia="仿宋_GB2312" w:cs="仿宋_GB2312"/>
          <w:color w:val="000000"/>
          <w:sz w:val="32"/>
          <w:szCs w:val="32"/>
        </w:rPr>
        <w:t>全县上下要保持战略定力，准确把握新发展阶段，深入贯彻新发展理念，积极融入新发展格局，在危机中育先机、于变局中开新局，推动“十四五”时期高质量发展，确保全面建设社会主义现代化新郏县开好局、起好步，奋力绘就郏县人民美好生活的时代新画卷。</w:t>
      </w:r>
    </w:p>
    <w:p>
      <w:pPr>
        <w:pStyle w:val="42"/>
        <w:spacing w:beforeLines="50" w:afterLines="50"/>
        <w:rPr>
          <w:b w:val="0"/>
          <w:bCs/>
          <w:color w:val="000000"/>
          <w:szCs w:val="32"/>
        </w:rPr>
      </w:pPr>
      <w:bookmarkStart w:id="9" w:name="_Toc62991713"/>
      <w:bookmarkStart w:id="10" w:name="_Toc4274"/>
      <w:r>
        <w:rPr>
          <w:rFonts w:hint="eastAsia"/>
          <w:b w:val="0"/>
          <w:bCs/>
          <w:color w:val="000000"/>
          <w:szCs w:val="32"/>
        </w:rPr>
        <w:t>第三章  总体要求</w:t>
      </w:r>
      <w:bookmarkEnd w:id="1"/>
      <w:bookmarkEnd w:id="9"/>
      <w:bookmarkEnd w:id="10"/>
    </w:p>
    <w:p>
      <w:pPr>
        <w:pStyle w:val="43"/>
        <w:spacing w:afterLines="50"/>
        <w:rPr>
          <w:color w:val="000000"/>
          <w:szCs w:val="32"/>
        </w:rPr>
      </w:pPr>
      <w:bookmarkStart w:id="11" w:name="_Toc15311"/>
      <w:bookmarkStart w:id="12" w:name="_Toc62991714"/>
      <w:bookmarkStart w:id="13" w:name="_Toc62991719"/>
      <w:r>
        <w:rPr>
          <w:rFonts w:hint="eastAsia"/>
          <w:b/>
          <w:bCs/>
          <w:color w:val="000000"/>
          <w:sz w:val="36"/>
          <w:szCs w:val="36"/>
        </w:rPr>
        <w:t>第一节  指导思想</w:t>
      </w:r>
      <w:bookmarkEnd w:id="11"/>
      <w:bookmarkEnd w:id="12"/>
    </w:p>
    <w:p>
      <w:pPr>
        <w:autoSpaceDE w:val="0"/>
        <w:autoSpaceDN w:val="0"/>
        <w:adjustRightInd w:val="0"/>
        <w:snapToGrid w:val="0"/>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高举习近平新时代中国特色社会主义思想伟大旗帜，深入贯彻党的十九大和十九届二中、三中、四中、五中全会精神，坚持以习近平新时代中国特色社会主义思想为指引，立足新发展阶段，贯彻新发展理念，融入新发展格局，坚持稳中求进工作总基调，坚持系统观念，以党的建设高质量推动经济发展高质量，以深化供给侧结构性改革为主线，以改革创新为根本动力，以满足人民日益增长的美好生活需要为根本目标，以重大项目、重点工作为抓手，统筹发展和安全，坚持“生态为基、发展为要、工业为重、项目为王、创新为上、民生为本”总体思路，凝心聚力启新程、真抓实干开新局，奋力谱写郏县高质量发展跨越赶超新篇章！</w:t>
      </w:r>
    </w:p>
    <w:p>
      <w:pPr>
        <w:autoSpaceDE w:val="0"/>
        <w:autoSpaceDN w:val="0"/>
        <w:adjustRightInd w:val="0"/>
        <w:snapToGrid w:val="0"/>
        <w:spacing w:line="60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“十四五”时期经济社会发展必须遵循的原则。</w:t>
      </w:r>
    </w:p>
    <w:p>
      <w:pPr>
        <w:widowControl w:val="0"/>
        <w:numPr>
          <w:numId w:val="0"/>
        </w:numPr>
        <w:pBdr>
          <w:bottom w:val="single" w:color="FFFFFF" w:sz="4" w:space="31"/>
        </w:pBdr>
        <w:tabs>
          <w:tab w:val="left" w:pos="1440"/>
        </w:tabs>
        <w:wordWrap/>
        <w:overflowPunct w:val="0"/>
        <w:adjustRightInd/>
        <w:snapToGrid/>
        <w:spacing w:before="0" w:line="580" w:lineRule="exact"/>
        <w:ind w:left="0" w:leftChars="0" w:right="0" w:firstLine="643" w:firstLineChars="2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bidi="ar-SA"/>
        </w:rPr>
      </w:pPr>
      <w:r>
        <w:rPr>
          <w:rFonts w:hint="eastAsia" w:ascii="楷体_GB2312" w:hAnsi="楷体_GB2312" w:eastAsia="楷体_GB2312" w:cs="楷体_GB2312"/>
          <w:b/>
          <w:bCs/>
          <w:color w:val="000000"/>
          <w:spacing w:val="0"/>
          <w:kern w:val="0"/>
          <w:sz w:val="32"/>
          <w:szCs w:val="32"/>
          <w:u w:val="none"/>
          <w:lang w:val="en-US" w:eastAsia="zh-CN" w:bidi="ar-SA"/>
        </w:rPr>
        <w:t>必须坚定践行人民观。</w:t>
      </w:r>
      <w:r>
        <w:rPr>
          <w:rFonts w:hint="eastAsia" w:ascii="仿宋_GB2312" w:hAnsi="仿宋_GB2312" w:eastAsia="仿宋_GB2312" w:cs="仿宋_GB2312"/>
          <w:b w:val="0"/>
          <w:bCs w:val="0"/>
          <w:color w:val="000000"/>
          <w:spacing w:val="0"/>
          <w:kern w:val="0"/>
          <w:sz w:val="32"/>
          <w:szCs w:val="32"/>
          <w:lang w:val="en-US" w:eastAsia="zh-CN" w:bidi="ar-SA"/>
        </w:rPr>
        <w:t>不忘初心、牢记使命，坚持发展为了人民、发展依靠人民、发展成果由人民共享。每项工作都以人民群众满意不满意、高兴不高兴、答应不答应作为唯一标准，始终把人民群众对美好生活的向往作为奋斗目标。</w:t>
      </w:r>
    </w:p>
    <w:p>
      <w:pPr>
        <w:widowControl w:val="0"/>
        <w:numPr>
          <w:numId w:val="0"/>
        </w:numPr>
        <w:pBdr>
          <w:bottom w:val="single" w:color="FFFFFF" w:sz="4" w:space="31"/>
        </w:pBdr>
        <w:tabs>
          <w:tab w:val="left" w:pos="1440"/>
        </w:tabs>
        <w:wordWrap/>
        <w:overflowPunct w:val="0"/>
        <w:adjustRightInd/>
        <w:snapToGrid/>
        <w:spacing w:before="0" w:line="580" w:lineRule="exact"/>
        <w:ind w:left="0" w:leftChars="0" w:right="0" w:firstLine="643" w:firstLineChars="2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bidi="ar-SA"/>
        </w:rPr>
      </w:pPr>
      <w:r>
        <w:rPr>
          <w:rFonts w:hint="eastAsia" w:ascii="楷体_GB2312" w:hAnsi="楷体_GB2312" w:eastAsia="楷体_GB2312" w:cs="楷体_GB2312"/>
          <w:b/>
          <w:bCs/>
          <w:color w:val="000000"/>
          <w:spacing w:val="0"/>
          <w:kern w:val="0"/>
          <w:sz w:val="32"/>
          <w:szCs w:val="32"/>
          <w:u w:val="none"/>
          <w:lang w:val="en-US" w:eastAsia="zh-CN" w:bidi="ar-SA"/>
        </w:rPr>
        <w:t>必须牢固树立责任感。</w:t>
      </w:r>
      <w:r>
        <w:rPr>
          <w:rFonts w:hint="eastAsia" w:ascii="仿宋_GB2312" w:hAnsi="仿宋_GB2312" w:eastAsia="仿宋_GB2312" w:cs="仿宋_GB2312"/>
          <w:b w:val="0"/>
          <w:bCs w:val="0"/>
          <w:color w:val="000000"/>
          <w:spacing w:val="0"/>
          <w:kern w:val="0"/>
          <w:sz w:val="32"/>
          <w:szCs w:val="32"/>
          <w:lang w:val="en-US" w:eastAsia="zh-CN" w:bidi="ar-SA"/>
        </w:rPr>
        <w:t>把工作当事业，把责任当使命，守土有责、守土负责、守土尽责，志不求易、事不避难，勇挑重担子、敢啃“硬骨头”，既当指挥员，又当战斗员，切实做到敢担责、能担责、善担责、担好责。</w:t>
      </w:r>
    </w:p>
    <w:p>
      <w:pPr>
        <w:widowControl w:val="0"/>
        <w:numPr>
          <w:numId w:val="0"/>
        </w:numPr>
        <w:pBdr>
          <w:bottom w:val="single" w:color="FFFFFF" w:sz="4" w:space="31"/>
        </w:pBdr>
        <w:tabs>
          <w:tab w:val="left" w:pos="1440"/>
        </w:tabs>
        <w:wordWrap/>
        <w:overflowPunct w:val="0"/>
        <w:adjustRightInd/>
        <w:snapToGrid/>
        <w:spacing w:before="0" w:line="580" w:lineRule="exact"/>
        <w:ind w:left="0" w:leftChars="0" w:right="0" w:firstLine="643" w:firstLineChars="200"/>
        <w:jc w:val="both"/>
        <w:textAlignment w:val="auto"/>
        <w:outlineLvl w:val="9"/>
        <w:rPr>
          <w:rFonts w:hint="eastAsia" w:ascii="仿宋_GB2312" w:hAnsi="仿宋_GB2312" w:eastAsia="仿宋_GB2312" w:cs="仿宋_GB2312"/>
          <w:color w:val="000000"/>
          <w:spacing w:val="-6"/>
          <w:kern w:val="0"/>
          <w:sz w:val="32"/>
          <w:szCs w:val="32"/>
          <w:lang w:val="en-US" w:eastAsia="zh-CN"/>
        </w:rPr>
      </w:pPr>
      <w:r>
        <w:rPr>
          <w:rFonts w:hint="eastAsia" w:ascii="楷体_GB2312" w:hAnsi="楷体_GB2312" w:eastAsia="楷体_GB2312" w:cs="楷体_GB2312"/>
          <w:b/>
          <w:bCs/>
          <w:color w:val="000000"/>
          <w:spacing w:val="0"/>
          <w:kern w:val="0"/>
          <w:sz w:val="32"/>
          <w:szCs w:val="32"/>
          <w:u w:val="none"/>
          <w:lang w:val="en-US" w:eastAsia="zh-CN" w:bidi="ar-SA"/>
        </w:rPr>
        <w:t>必须时刻保持危机感。</w:t>
      </w:r>
      <w:r>
        <w:rPr>
          <w:rFonts w:hint="eastAsia" w:ascii="仿宋_GB2312" w:hAnsi="仿宋_GB2312" w:eastAsia="仿宋_GB2312" w:cs="仿宋_GB2312"/>
          <w:color w:val="000000"/>
          <w:spacing w:val="0"/>
          <w:kern w:val="0"/>
          <w:sz w:val="32"/>
          <w:szCs w:val="32"/>
          <w:lang w:val="en-US" w:eastAsia="zh-CN"/>
        </w:rPr>
        <w:t>要有发展上的紧迫感、本领上的恐慌感，坚决破除固步自封、安于现状，小进即满、盲目乐</w:t>
      </w:r>
      <w:r>
        <w:rPr>
          <w:rFonts w:hint="eastAsia" w:ascii="仿宋_GB2312" w:hAnsi="仿宋_GB2312" w:eastAsia="仿宋_GB2312" w:cs="仿宋_GB2312"/>
          <w:color w:val="000000"/>
          <w:spacing w:val="-6"/>
          <w:kern w:val="0"/>
          <w:sz w:val="32"/>
          <w:szCs w:val="32"/>
          <w:lang w:val="en-US" w:eastAsia="zh-CN"/>
        </w:rPr>
        <w:t>观等思想藩篱，提升能力本领，善抓发展机遇，勇于应对挑战。</w:t>
      </w:r>
    </w:p>
    <w:p>
      <w:pPr>
        <w:widowControl w:val="0"/>
        <w:numPr>
          <w:numId w:val="0"/>
        </w:numPr>
        <w:pBdr>
          <w:bottom w:val="single" w:color="FFFFFF" w:sz="4" w:space="31"/>
        </w:pBdr>
        <w:tabs>
          <w:tab w:val="left" w:pos="1440"/>
        </w:tabs>
        <w:wordWrap/>
        <w:overflowPunct w:val="0"/>
        <w:adjustRightInd/>
        <w:snapToGrid/>
        <w:spacing w:before="0" w:line="580" w:lineRule="exact"/>
        <w:ind w:left="0" w:leftChars="0" w:right="0" w:firstLine="643" w:firstLineChars="200"/>
        <w:jc w:val="both"/>
        <w:textAlignment w:val="auto"/>
        <w:outlineLvl w:val="9"/>
        <w:rPr>
          <w:rFonts w:hint="eastAsia" w:ascii="仿宋_GB2312" w:hAnsi="仿宋_GB2312" w:eastAsia="仿宋_GB2312" w:cs="仿宋_GB2312"/>
          <w:color w:val="000000"/>
          <w:spacing w:val="0"/>
          <w:kern w:val="0"/>
          <w:sz w:val="32"/>
          <w:szCs w:val="32"/>
          <w:lang w:val="en-US" w:eastAsia="zh-CN"/>
        </w:rPr>
      </w:pPr>
      <w:r>
        <w:rPr>
          <w:rFonts w:hint="eastAsia" w:ascii="楷体_GB2312" w:hAnsi="楷体_GB2312" w:eastAsia="楷体_GB2312" w:cs="楷体_GB2312"/>
          <w:b/>
          <w:bCs/>
          <w:color w:val="000000"/>
          <w:spacing w:val="0"/>
          <w:kern w:val="0"/>
          <w:sz w:val="32"/>
          <w:szCs w:val="32"/>
          <w:u w:val="none"/>
          <w:lang w:val="en-US" w:eastAsia="zh-CN" w:bidi="ar-SA"/>
        </w:rPr>
        <w:t>必须强化工作精准度。</w:t>
      </w:r>
      <w:r>
        <w:rPr>
          <w:rFonts w:hint="eastAsia" w:ascii="仿宋_GB2312" w:hAnsi="仿宋_GB2312" w:eastAsia="仿宋_GB2312" w:cs="仿宋_GB2312"/>
          <w:color w:val="000000"/>
          <w:spacing w:val="0"/>
          <w:kern w:val="0"/>
          <w:sz w:val="32"/>
          <w:szCs w:val="32"/>
          <w:lang w:val="en-US" w:eastAsia="zh-CN"/>
        </w:rPr>
        <w:t>坚持精准思维谋事、精准施策做事，精准发现解决问题、精准部署推动工作。学会定性分析、善做定量研究，注重在分析对比中列出可量化的指标、可操作的举措，精准对标先进、奋力实现赶超。</w:t>
      </w:r>
    </w:p>
    <w:p>
      <w:pPr>
        <w:widowControl w:val="0"/>
        <w:numPr>
          <w:numId w:val="0"/>
        </w:numPr>
        <w:pBdr>
          <w:bottom w:val="single" w:color="FFFFFF" w:sz="4" w:space="31"/>
        </w:pBdr>
        <w:tabs>
          <w:tab w:val="left" w:pos="1440"/>
        </w:tabs>
        <w:wordWrap/>
        <w:overflowPunct w:val="0"/>
        <w:adjustRightInd/>
        <w:snapToGrid/>
        <w:spacing w:before="0" w:line="580" w:lineRule="exact"/>
        <w:ind w:left="0" w:leftChars="0" w:right="0" w:firstLine="643" w:firstLineChars="200"/>
        <w:jc w:val="both"/>
        <w:textAlignment w:val="auto"/>
        <w:outlineLvl w:val="9"/>
        <w:rPr>
          <w:rFonts w:hint="eastAsia" w:ascii="仿宋_GB2312" w:hAnsi="仿宋_GB2312" w:eastAsia="仿宋_GB2312" w:cs="仿宋_GB2312"/>
          <w:b w:val="0"/>
          <w:bCs w:val="0"/>
          <w:color w:val="000000"/>
          <w:spacing w:val="0"/>
          <w:kern w:val="0"/>
          <w:sz w:val="32"/>
          <w:szCs w:val="32"/>
          <w:lang w:val="en-US" w:eastAsia="zh-CN" w:bidi="ar-SA"/>
        </w:rPr>
      </w:pPr>
      <w:r>
        <w:rPr>
          <w:rFonts w:hint="eastAsia" w:ascii="楷体_GB2312" w:hAnsi="楷体_GB2312" w:eastAsia="楷体_GB2312" w:cs="楷体_GB2312"/>
          <w:b/>
          <w:bCs/>
          <w:color w:val="000000"/>
          <w:spacing w:val="0"/>
          <w:kern w:val="0"/>
          <w:sz w:val="32"/>
          <w:szCs w:val="32"/>
          <w:u w:val="none"/>
          <w:lang w:val="en-US" w:eastAsia="zh-CN" w:bidi="ar-SA"/>
        </w:rPr>
        <w:t>必须提升团结协作度。</w:t>
      </w:r>
      <w:r>
        <w:rPr>
          <w:rFonts w:hint="eastAsia" w:ascii="仿宋_GB2312" w:hAnsi="仿宋_GB2312" w:eastAsia="仿宋_GB2312" w:cs="仿宋_GB2312"/>
          <w:b w:val="0"/>
          <w:bCs w:val="0"/>
          <w:color w:val="000000"/>
          <w:spacing w:val="0"/>
          <w:kern w:val="0"/>
          <w:sz w:val="32"/>
          <w:szCs w:val="32"/>
          <w:lang w:val="en-US" w:eastAsia="zh-CN" w:bidi="ar-SA"/>
        </w:rPr>
        <w:t>树牢大局意识、“一盘棋”思想，加强沟通协作、打破部门壁垒，实现数据、信息、资源共享。健全激励约束机制，充分调动各方面的积极性、主动性、创造性，凝聚干事创业、推动工作的强大合力。</w:t>
      </w:r>
    </w:p>
    <w:p>
      <w:pPr>
        <w:pStyle w:val="43"/>
        <w:spacing w:beforeLines="50" w:afterLines="50"/>
        <w:rPr>
          <w:b/>
          <w:bCs/>
          <w:color w:val="000000"/>
          <w:sz w:val="36"/>
          <w:szCs w:val="36"/>
        </w:rPr>
      </w:pPr>
      <w:bookmarkStart w:id="14" w:name="_Toc62991715"/>
      <w:bookmarkStart w:id="15" w:name="_Toc28749"/>
      <w:r>
        <w:rPr>
          <w:rFonts w:hint="eastAsia"/>
          <w:b/>
          <w:bCs/>
          <w:color w:val="000000"/>
          <w:sz w:val="36"/>
          <w:szCs w:val="36"/>
        </w:rPr>
        <w:t>第二节  发展目标</w:t>
      </w:r>
      <w:bookmarkEnd w:id="14"/>
      <w:bookmarkEnd w:id="15"/>
    </w:p>
    <w:p>
      <w:pPr>
        <w:autoSpaceDE w:val="0"/>
        <w:autoSpaceDN w:val="0"/>
        <w:adjustRightInd w:val="0"/>
        <w:snapToGrid w:val="0"/>
        <w:spacing w:line="600" w:lineRule="exact"/>
        <w:ind w:firstLine="643" w:firstLineChars="200"/>
        <w:rPr>
          <w:rFonts w:ascii="仿宋_GB2312" w:hAnsi="仿宋_GB2312" w:eastAsia="仿宋_GB2312" w:cs="仿宋_GB2312"/>
          <w:color w:val="000000"/>
          <w:sz w:val="32"/>
          <w:szCs w:val="32"/>
        </w:rPr>
      </w:pPr>
      <w:bookmarkStart w:id="16" w:name="_Toc2628"/>
      <w:r>
        <w:rPr>
          <w:rFonts w:hint="eastAsia" w:ascii="楷体_GB2312" w:hAnsi="楷体_GB2312" w:eastAsia="楷体_GB2312" w:cs="楷体_GB2312"/>
          <w:b/>
          <w:bCs/>
          <w:color w:val="000000"/>
          <w:sz w:val="32"/>
          <w:szCs w:val="32"/>
        </w:rPr>
        <w:t>2035年远景目标：</w:t>
      </w:r>
      <w:r>
        <w:rPr>
          <w:rFonts w:hint="eastAsia" w:ascii="仿宋_GB2312" w:hAnsi="仿宋_GB2312" w:eastAsia="仿宋_GB2312" w:cs="仿宋_GB2312"/>
          <w:color w:val="000000"/>
          <w:sz w:val="32"/>
          <w:szCs w:val="32"/>
        </w:rPr>
        <w:t>展望未来15年，我县的远景发展目标是：坚持“两个高质量”，基本建成“四个郏县”。</w:t>
      </w:r>
      <w:r>
        <w:rPr>
          <w:rFonts w:hint="eastAsia" w:ascii="仿宋_GB2312" w:hAnsi="仿宋_GB2312" w:eastAsia="仿宋_GB2312" w:cs="仿宋_GB2312"/>
          <w:b/>
          <w:bCs/>
          <w:color w:val="000000"/>
          <w:sz w:val="32"/>
          <w:szCs w:val="32"/>
        </w:rPr>
        <w:t>坚持党建高质量推动发展高质量，</w:t>
      </w:r>
      <w:r>
        <w:rPr>
          <w:rFonts w:hint="eastAsia" w:ascii="仿宋_GB2312" w:hAnsi="仿宋_GB2312" w:eastAsia="仿宋_GB2312" w:cs="仿宋_GB2312"/>
          <w:color w:val="000000"/>
          <w:sz w:val="32"/>
          <w:szCs w:val="32"/>
        </w:rPr>
        <w:t>思想政治统领更加有力，根本制度建设、基础建设、长远建设作用更加彰显，学的氛围、严的氛围、干的氛围、实的氛围更加浓厚，党建引领践行新发展理念、融入新发展格局、推动高质量发展的保证作用充分彰显。坚决贯彻落实习近平生态文明思想，坚持人与自然和谐共生，推进环境污染防治与矿山修复、国土绿化协同作战，打造天蓝、地绿、水净、气爽的良好环境。深入贯彻新发展理念，坚持“以高低压电气为引领的装备制造主导产业，以郏县红牛为引领的特色产业，以郏县铁锅为引领的优势产业，以文旅康养为引领的绿色产业，以富硒农业为代表的绿色食品产业，以郏县饸饹面为代表的美食产业”发展方向，完善产业生态，加快构建现代化产业体系。深度</w:t>
      </w:r>
      <w:r>
        <w:rPr>
          <w:rFonts w:hint="eastAsia" w:ascii="仿宋_GB2312" w:hAnsi="仿宋_GB2312" w:eastAsia="仿宋_GB2312" w:cs="仿宋_GB2312"/>
          <w:color w:val="000000"/>
          <w:spacing w:val="-6"/>
          <w:sz w:val="32"/>
          <w:szCs w:val="32"/>
        </w:rPr>
        <w:t>挖掘独特的历史文化和旅游资源，推动旅游与文化深度融合</w:t>
      </w:r>
      <w:r>
        <w:rPr>
          <w:rFonts w:hint="eastAsia" w:ascii="仿宋_GB2312" w:hAnsi="仿宋_GB2312" w:eastAsia="仿宋_GB2312" w:cs="仿宋_GB2312"/>
          <w:color w:val="000000"/>
          <w:sz w:val="32"/>
          <w:szCs w:val="32"/>
        </w:rPr>
        <w:t>，全面发展红色游、研学游、休闲游、民俗游等，持续提升文化旅游引领转型发展、富民增收的重要作用，实现强县与富民的统一，创成国家全域旅游示范区、中国优秀旅游城市。遵循“以事业统一思想、以发展凝聚力量、以实绩赢得尊重、以实干树</w:t>
      </w:r>
      <w:r>
        <w:rPr>
          <w:rFonts w:hint="eastAsia" w:ascii="仿宋_GB2312" w:hAnsi="仿宋_GB2312" w:eastAsia="仿宋_GB2312" w:cs="仿宋_GB2312"/>
          <w:snapToGrid w:val="0"/>
          <w:color w:val="000000"/>
          <w:kern w:val="0"/>
          <w:sz w:val="32"/>
          <w:szCs w:val="40"/>
        </w:rPr>
        <w:t>立形象”的工作导向，树牢“五精”意识，下足“五种”功夫</w:t>
      </w:r>
      <w:r>
        <w:rPr>
          <w:rFonts w:hint="eastAsia" w:ascii="仿宋_GB2312" w:hAnsi="仿宋_GB2312" w:eastAsia="仿宋_GB2312" w:cs="仿宋_GB2312"/>
          <w:color w:val="000000"/>
          <w:sz w:val="32"/>
          <w:szCs w:val="32"/>
        </w:rPr>
        <w:t>，做到“六个”干事，</w:t>
      </w:r>
      <w:r>
        <w:rPr>
          <w:rFonts w:hint="eastAsia" w:ascii="仿宋_GB2312" w:hAnsi="仿宋_GB2312" w:eastAsia="仿宋_GB2312" w:cs="仿宋_GB2312"/>
          <w:snapToGrid w:val="0"/>
          <w:color w:val="000000"/>
          <w:kern w:val="0"/>
          <w:sz w:val="32"/>
          <w:szCs w:val="40"/>
        </w:rPr>
        <w:t>形成全县上下人人思干、以实绩论英雄的良好氛围。</w:t>
      </w:r>
      <w:r>
        <w:rPr>
          <w:rFonts w:hint="eastAsia" w:ascii="仿宋_GB2312" w:hAnsi="仿宋_GB2312" w:eastAsia="仿宋_GB2312" w:cs="仿宋_GB2312"/>
          <w:b/>
          <w:bCs/>
          <w:color w:val="000000"/>
          <w:sz w:val="32"/>
          <w:szCs w:val="32"/>
        </w:rPr>
        <w:t>建成“厚重郏县”，</w:t>
      </w:r>
      <w:r>
        <w:rPr>
          <w:rFonts w:hint="eastAsia" w:ascii="仿宋_GB2312" w:hAnsi="仿宋_GB2312" w:eastAsia="仿宋_GB2312" w:cs="仿宋_GB2312"/>
          <w:snapToGrid w:val="0"/>
          <w:color w:val="000000"/>
          <w:kern w:val="0"/>
          <w:sz w:val="32"/>
          <w:szCs w:val="40"/>
        </w:rPr>
        <w:t>深厚的历史文化资源得到充分挖掘，赋予新的文化内涵、新的表现形式，在保护中发展，在传承中创新，文化事业繁荣，文化产业兴旺，为实现社会主义现代化新郏县奋斗目标汇聚新能量、注入新动力。</w:t>
      </w:r>
      <w:r>
        <w:rPr>
          <w:rFonts w:hint="eastAsia" w:ascii="仿宋_GB2312" w:hAnsi="仿宋_GB2312" w:eastAsia="仿宋_GB2312" w:cs="仿宋_GB2312"/>
          <w:b/>
          <w:bCs/>
          <w:color w:val="000000"/>
          <w:sz w:val="32"/>
          <w:szCs w:val="32"/>
        </w:rPr>
        <w:t>建成“实力郏县”，</w:t>
      </w:r>
      <w:r>
        <w:rPr>
          <w:rFonts w:hint="eastAsia" w:ascii="仿宋_GB2312" w:hAnsi="仿宋_GB2312" w:eastAsia="仿宋_GB2312" w:cs="仿宋_GB2312"/>
          <w:color w:val="000000"/>
          <w:sz w:val="32"/>
          <w:szCs w:val="32"/>
        </w:rPr>
        <w:t>现代化经济体系基本形成，县域综合实力大幅跃升，经济总量迈上新的大台阶，发展质量和效益显著提高，新型工业化、信息</w:t>
      </w:r>
      <w:r>
        <w:rPr>
          <w:rFonts w:hint="eastAsia" w:ascii="仿宋_GB2312" w:hAnsi="仿宋_GB2312" w:eastAsia="仿宋_GB2312" w:cs="仿宋_GB2312"/>
          <w:color w:val="000000"/>
          <w:spacing w:val="-6"/>
          <w:sz w:val="32"/>
          <w:szCs w:val="32"/>
        </w:rPr>
        <w:t>化、城镇化、农业现代化基本</w:t>
      </w:r>
      <w:r>
        <w:rPr>
          <w:rFonts w:hint="eastAsia" w:ascii="仿宋_GB2312" w:hAnsi="仿宋_GB2312" w:eastAsia="仿宋_GB2312" w:cs="仿宋_GB2312"/>
          <w:color w:val="000000"/>
          <w:sz w:val="32"/>
          <w:szCs w:val="32"/>
        </w:rPr>
        <w:t>实现。</w:t>
      </w:r>
      <w:r>
        <w:rPr>
          <w:rFonts w:hint="eastAsia" w:ascii="仿宋_GB2312" w:hAnsi="仿宋_GB2312" w:eastAsia="仿宋_GB2312" w:cs="仿宋_GB2312"/>
          <w:b/>
          <w:bCs/>
          <w:color w:val="000000"/>
          <w:sz w:val="32"/>
          <w:szCs w:val="32"/>
        </w:rPr>
        <w:t>建成“文明郏县”，</w:t>
      </w:r>
      <w:r>
        <w:rPr>
          <w:rFonts w:hint="eastAsia" w:ascii="仿宋_GB2312" w:hAnsi="仿宋_GB2312" w:eastAsia="仿宋_GB2312" w:cs="仿宋_GB2312"/>
          <w:color w:val="000000"/>
          <w:sz w:val="32"/>
          <w:szCs w:val="32"/>
        </w:rPr>
        <w:t>全面建成教育名县、人才强县、体育强县、健康郏县，绿色生产生活方式基本形成，全民素质和社会文明程度达到新高度，社会主义精神文明和物质文明协调发展，创成全国文明城市。</w:t>
      </w:r>
      <w:r>
        <w:rPr>
          <w:rFonts w:hint="eastAsia" w:ascii="仿宋_GB2312" w:hAnsi="仿宋_GB2312" w:eastAsia="仿宋_GB2312" w:cs="仿宋_GB2312"/>
          <w:b/>
          <w:bCs/>
          <w:color w:val="000000"/>
          <w:sz w:val="32"/>
          <w:szCs w:val="32"/>
        </w:rPr>
        <w:t>建成“幸福郏县”，</w:t>
      </w:r>
      <w:r>
        <w:rPr>
          <w:rFonts w:hint="eastAsia" w:ascii="仿宋_GB2312" w:hAnsi="仿宋_GB2312" w:eastAsia="仿宋_GB2312" w:cs="仿宋_GB2312"/>
          <w:color w:val="000000"/>
          <w:sz w:val="32"/>
          <w:szCs w:val="32"/>
        </w:rPr>
        <w:t>全县干部群众干事创业热情充分迸发，居民收入迈上新的大台阶,基本公共服务均等化水平明显提升,更加充分更有质量就业基本实现，平安郏县建设迈向更高水平,共同富裕取得实质性进展,全县人民生活更加美好、更加幸福。</w:t>
      </w:r>
    </w:p>
    <w:p>
      <w:pPr>
        <w:autoSpaceDE w:val="0"/>
        <w:autoSpaceDN w:val="0"/>
        <w:adjustRightInd w:val="0"/>
        <w:snapToGrid w:val="0"/>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锚定2035远景目标，“十四五”时期我县要聚焦新的战略定位，奋力实现实现“六个更加”。</w:t>
      </w:r>
    </w:p>
    <w:p>
      <w:pPr>
        <w:autoSpaceDE w:val="0"/>
        <w:autoSpaceDN w:val="0"/>
        <w:adjustRightInd w:val="0"/>
        <w:snapToGrid w:val="0"/>
        <w:spacing w:line="600" w:lineRule="exact"/>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经济实力更加坚实。</w:t>
      </w:r>
      <w:r>
        <w:rPr>
          <w:rFonts w:hint="eastAsia" w:ascii="仿宋_GB2312" w:hAnsi="仿宋_GB2312" w:eastAsia="仿宋_GB2312" w:cs="仿宋_GB2312"/>
          <w:color w:val="000000"/>
          <w:sz w:val="32"/>
          <w:szCs w:val="32"/>
        </w:rPr>
        <w:t>生产总值年均增长 8%以上，一般公共预算收入年均增长 10%以上，固定资产投资保持两位数增长，工业投资占比 40%以上。</w:t>
      </w:r>
    </w:p>
    <w:p>
      <w:pPr>
        <w:autoSpaceDE w:val="0"/>
        <w:autoSpaceDN w:val="0"/>
        <w:adjustRightInd w:val="0"/>
        <w:snapToGrid w:val="0"/>
        <w:spacing w:line="600" w:lineRule="exact"/>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发展动力更加强劲。</w:t>
      </w:r>
      <w:r>
        <w:rPr>
          <w:rFonts w:hint="eastAsia" w:ascii="仿宋_GB2312" w:hAnsi="仿宋_GB2312" w:eastAsia="仿宋_GB2312" w:cs="仿宋_GB2312"/>
          <w:color w:val="000000"/>
          <w:sz w:val="32"/>
          <w:szCs w:val="32"/>
        </w:rPr>
        <w:t>改革创新成效显著，营商环境达到一流水平，招商引资和项目建设取得重大成果，产业园区能级大幅提升。</w:t>
      </w:r>
    </w:p>
    <w:p>
      <w:pPr>
        <w:autoSpaceDE w:val="0"/>
        <w:autoSpaceDN w:val="0"/>
        <w:adjustRightInd w:val="0"/>
        <w:snapToGrid w:val="0"/>
        <w:spacing w:line="600" w:lineRule="exact"/>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文明程度更加彰显。</w:t>
      </w:r>
      <w:r>
        <w:rPr>
          <w:rFonts w:hint="eastAsia" w:ascii="仿宋_GB2312" w:hAnsi="仿宋_GB2312" w:eastAsia="仿宋_GB2312" w:cs="仿宋_GB2312"/>
          <w:color w:val="000000"/>
          <w:sz w:val="32"/>
          <w:szCs w:val="32"/>
        </w:rPr>
        <w:t>社会主义核心价值观深入践行，人民群众精神文化生活日益丰富，文化事业和文旅产业蓬勃发展。</w:t>
      </w:r>
    </w:p>
    <w:p>
      <w:pPr>
        <w:autoSpaceDE w:val="0"/>
        <w:autoSpaceDN w:val="0"/>
        <w:adjustRightInd w:val="0"/>
        <w:snapToGrid w:val="0"/>
        <w:spacing w:line="600" w:lineRule="exact"/>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生态环境更加优美。</w:t>
      </w:r>
      <w:r>
        <w:rPr>
          <w:rFonts w:hint="eastAsia" w:ascii="仿宋_GB2312" w:hAnsi="仿宋_GB2312" w:eastAsia="仿宋_GB2312" w:cs="仿宋_GB2312"/>
          <w:color w:val="000000"/>
          <w:sz w:val="32"/>
          <w:szCs w:val="32"/>
        </w:rPr>
        <w:t>资源利用效率大幅提高，污染防治水平不断提升，生态环境质量持续改善，城乡环境更加宜居。</w:t>
      </w:r>
    </w:p>
    <w:p>
      <w:pPr>
        <w:autoSpaceDE w:val="0"/>
        <w:autoSpaceDN w:val="0"/>
        <w:adjustRightInd w:val="0"/>
        <w:snapToGrid w:val="0"/>
        <w:spacing w:line="600" w:lineRule="exact"/>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民生保障更加有力。</w:t>
      </w:r>
      <w:r>
        <w:rPr>
          <w:rFonts w:hint="eastAsia" w:ascii="仿宋_GB2312" w:hAnsi="仿宋_GB2312" w:eastAsia="仿宋_GB2312" w:cs="仿宋_GB2312"/>
          <w:color w:val="000000"/>
          <w:sz w:val="32"/>
          <w:szCs w:val="32"/>
        </w:rPr>
        <w:t>社会事业全面发展，基本公共服务均等化水平不断提高。居民人均可支配收入年均增长 8.5%以上，城镇登记失业率控制在 3%以内。</w:t>
      </w:r>
    </w:p>
    <w:p>
      <w:pPr>
        <w:autoSpaceDE w:val="0"/>
        <w:autoSpaceDN w:val="0"/>
        <w:adjustRightInd w:val="0"/>
        <w:snapToGrid w:val="0"/>
        <w:spacing w:line="600" w:lineRule="exact"/>
        <w:ind w:firstLine="643"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社会治理更加高效</w:t>
      </w:r>
      <w:r>
        <w:rPr>
          <w:rFonts w:hint="eastAsia" w:ascii="仿宋_GB2312" w:hAnsi="仿宋_GB2312" w:eastAsia="仿宋_GB2312" w:cs="仿宋_GB2312"/>
          <w:color w:val="000000"/>
          <w:sz w:val="32"/>
          <w:szCs w:val="32"/>
        </w:rPr>
        <w:t>。重大风险防范化解能力显著增强，依法治县迈出坚实步伐，公平正义进一步彰显，共建共治共享的社会治理体系更加健全。</w:t>
      </w:r>
    </w:p>
    <w:p>
      <w:pPr>
        <w:ind w:firstLine="420" w:firstLineChars="200"/>
        <w:rPr>
          <w:rFonts w:ascii="黑体" w:hAnsi="黑体" w:eastAsia="黑体" w:cs="黑体"/>
          <w:color w:val="000000"/>
          <w:sz w:val="30"/>
          <w:szCs w:val="30"/>
        </w:rPr>
      </w:pPr>
      <w:r>
        <w:rPr>
          <w:rFonts w:hint="eastAsia" w:ascii="黑体" w:hAnsi="黑体" w:eastAsia="黑体" w:cs="黑体"/>
          <w:color w:val="000000"/>
          <w:sz w:val="30"/>
          <w:szCs w:val="30"/>
          <w:lang w:val="en-US" w:eastAsia="zh-CN"/>
        </w:rPr>
        <w:t xml:space="preserve">     </w:t>
      </w:r>
      <w:r>
        <w:rPr>
          <w:rFonts w:hint="eastAsia" w:ascii="黑体" w:hAnsi="黑体" w:eastAsia="黑体" w:cs="黑体"/>
          <w:color w:val="000000"/>
          <w:sz w:val="30"/>
          <w:szCs w:val="30"/>
        </w:rPr>
        <w:t>表2：“十四五”经济社会发展主要指标</w:t>
      </w:r>
      <w:bookmarkEnd w:id="16"/>
    </w:p>
    <w:tbl>
      <w:tblPr>
        <w:tblW w:w="9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2"/>
        <w:gridCol w:w="1132"/>
        <w:gridCol w:w="2402"/>
        <w:gridCol w:w="970"/>
        <w:gridCol w:w="1151"/>
        <w:gridCol w:w="2015"/>
        <w:gridCol w:w="1188"/>
      </w:tblGrid>
      <w:tr>
        <w:trPr>
          <w:trHeight w:val="716" w:hRule="atLeast"/>
          <w:jc w:val="center"/>
        </w:trPr>
        <w:tc>
          <w:tcPr>
            <w:tcW w:w="522" w:type="dxa"/>
            <w:tcBorders>
              <w:top w:val="single" w:color="auto" w:sz="8" w:space="0"/>
              <w:left w:val="single" w:color="auto" w:sz="8" w:space="0"/>
              <w:bottom w:val="single" w:color="000000"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序号</w:t>
            </w:r>
          </w:p>
        </w:tc>
        <w:tc>
          <w:tcPr>
            <w:tcW w:w="3534" w:type="dxa"/>
            <w:gridSpan w:val="2"/>
            <w:tcBorders>
              <w:top w:val="single" w:color="auto" w:sz="8" w:space="0"/>
              <w:left w:val="single" w:color="auto" w:sz="8"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指标名称</w:t>
            </w:r>
          </w:p>
        </w:tc>
        <w:tc>
          <w:tcPr>
            <w:tcW w:w="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2020年</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基数</w:t>
            </w:r>
          </w:p>
        </w:tc>
        <w:tc>
          <w:tcPr>
            <w:tcW w:w="1151" w:type="dxa"/>
            <w:tcBorders>
              <w:top w:val="single" w:color="auto" w:sz="8" w:space="0"/>
              <w:left w:val="single" w:color="auto" w:sz="4" w:space="0"/>
              <w:bottom w:val="single" w:color="000000"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2025年</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目标</w:t>
            </w:r>
          </w:p>
        </w:tc>
        <w:tc>
          <w:tcPr>
            <w:tcW w:w="2015" w:type="dxa"/>
            <w:tcBorders>
              <w:top w:val="single" w:color="auto" w:sz="8" w:space="0"/>
              <w:left w:val="single" w:color="auto" w:sz="8" w:space="0"/>
              <w:bottom w:val="single" w:color="000000"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五年平均或累计增速（%、百分点）</w:t>
            </w:r>
          </w:p>
        </w:tc>
        <w:tc>
          <w:tcPr>
            <w:tcW w:w="1188" w:type="dxa"/>
            <w:tcBorders>
              <w:top w:val="single" w:color="auto" w:sz="8" w:space="0"/>
              <w:left w:val="single" w:color="auto" w:sz="8" w:space="0"/>
              <w:bottom w:val="single" w:color="000000"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指标属性</w:t>
            </w:r>
          </w:p>
        </w:tc>
      </w:tr>
      <w:tr>
        <w:trPr>
          <w:trHeight w:val="369" w:hRule="atLeast"/>
          <w:jc w:val="center"/>
        </w:trPr>
        <w:tc>
          <w:tcPr>
            <w:tcW w:w="9380" w:type="dxa"/>
            <w:gridSpan w:val="7"/>
            <w:tcBorders>
              <w:top w:val="single" w:color="auto" w:sz="8" w:space="0"/>
              <w:left w:val="single" w:color="auto" w:sz="8" w:space="0"/>
              <w:bottom w:val="single" w:color="auto" w:sz="8" w:space="0"/>
              <w:right w:val="single" w:color="000000" w:sz="8"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一、经济发展</w:t>
            </w:r>
            <w:r>
              <w:rPr>
                <w:rFonts w:hint="eastAsia" w:ascii="仿宋_GB2312" w:hAnsi="仿宋_GB2312" w:eastAsia="仿宋_GB2312" w:cs="仿宋_GB2312"/>
                <w:color w:val="000000"/>
                <w:kern w:val="0"/>
                <w:sz w:val="21"/>
                <w:szCs w:val="21"/>
              </w:rPr>
              <w:t>　</w:t>
            </w:r>
          </w:p>
        </w:tc>
      </w:tr>
      <w:tr>
        <w:trPr>
          <w:trHeight w:val="369"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地区生产总值（亿元）</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207</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8</w:t>
            </w:r>
            <w:r>
              <w:rPr>
                <w:rFonts w:hint="eastAsia" w:ascii="仿宋_GB2312" w:hAnsi="仿宋_GB2312" w:eastAsia="仿宋_GB2312" w:cs="仿宋_GB2312"/>
                <w:color w:val="000000"/>
                <w:kern w:val="0"/>
                <w:sz w:val="21"/>
                <w:szCs w:val="21"/>
              </w:rPr>
              <w:t>以上</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69"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全员劳动生产率（元/人）</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51325</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7</w:t>
            </w:r>
            <w:r>
              <w:rPr>
                <w:rFonts w:hint="eastAsia" w:ascii="仿宋_GB2312" w:hAnsi="仿宋_GB2312" w:eastAsia="仿宋_GB2312" w:cs="仿宋_GB2312"/>
                <w:color w:val="000000"/>
                <w:kern w:val="0"/>
                <w:sz w:val="21"/>
                <w:szCs w:val="21"/>
              </w:rPr>
              <w:t>以上</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69"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全部制造业增加值占全县生产总值</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51" w:type="dxa"/>
            <w:tcBorders>
              <w:top w:val="nil"/>
              <w:left w:val="nil"/>
              <w:bottom w:val="single" w:color="auto" w:sz="8" w:space="0"/>
              <w:right w:val="single" w:color="auto" w:sz="8" w:space="0"/>
            </w:tcBorders>
            <w:vAlign w:val="center"/>
          </w:tcPr>
          <w:p>
            <w:pPr>
              <w:widowControl/>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65%</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69" w:hRule="atLeast"/>
          <w:jc w:val="center"/>
        </w:trPr>
        <w:tc>
          <w:tcPr>
            <w:tcW w:w="522" w:type="dxa"/>
            <w:tcBorders>
              <w:top w:val="nil"/>
              <w:left w:val="single" w:color="auto" w:sz="8" w:space="0"/>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3534" w:type="dxa"/>
            <w:gridSpan w:val="2"/>
            <w:tcBorders>
              <w:top w:val="single" w:color="auto" w:sz="8"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pacing w:val="-11"/>
                <w:kern w:val="0"/>
                <w:sz w:val="21"/>
                <w:szCs w:val="21"/>
              </w:rPr>
              <w:t>社会消费品零售总额（亿元）</w:t>
            </w:r>
          </w:p>
        </w:tc>
        <w:tc>
          <w:tcPr>
            <w:tcW w:w="970"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75</w:t>
            </w:r>
          </w:p>
        </w:tc>
        <w:tc>
          <w:tcPr>
            <w:tcW w:w="11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2015"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1188"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58" w:hRule="atLeast"/>
          <w:jc w:val="center"/>
        </w:trPr>
        <w:tc>
          <w:tcPr>
            <w:tcW w:w="522"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3534" w:type="dxa"/>
            <w:gridSpan w:val="2"/>
            <w:tcBorders>
              <w:top w:val="single" w:color="auto" w:sz="4"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常住人口城镇化率（%）</w:t>
            </w:r>
          </w:p>
        </w:tc>
        <w:tc>
          <w:tcPr>
            <w:tcW w:w="970" w:type="dxa"/>
            <w:tcBorders>
              <w:top w:val="single" w:color="auto" w:sz="4" w:space="0"/>
              <w:left w:val="nil"/>
              <w:bottom w:val="single" w:color="auto" w:sz="4" w:space="0"/>
              <w:right w:val="single" w:color="auto" w:sz="8" w:space="0"/>
            </w:tcBorders>
            <w:vAlign w:val="center"/>
          </w:tcPr>
          <w:p>
            <w:pPr>
              <w:widowControl/>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w:t>
            </w:r>
          </w:p>
        </w:tc>
        <w:tc>
          <w:tcPr>
            <w:tcW w:w="1151" w:type="dxa"/>
            <w:tcBorders>
              <w:top w:val="single" w:color="auto" w:sz="4"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2015" w:type="dxa"/>
            <w:tcBorders>
              <w:top w:val="single" w:color="auto" w:sz="4" w:space="0"/>
              <w:left w:val="nil"/>
              <w:bottom w:val="single" w:color="auto" w:sz="4" w:space="0"/>
              <w:right w:val="single" w:color="auto" w:sz="8" w:space="0"/>
            </w:tcBorders>
            <w:vAlign w:val="center"/>
          </w:tcPr>
          <w:p>
            <w:pPr>
              <w:widowControl/>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1.5左右</w:t>
            </w:r>
          </w:p>
        </w:tc>
        <w:tc>
          <w:tcPr>
            <w:tcW w:w="118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58" w:hRule="atLeast"/>
          <w:jc w:val="center"/>
        </w:trPr>
        <w:tc>
          <w:tcPr>
            <w:tcW w:w="9380" w:type="dxa"/>
            <w:gridSpan w:val="7"/>
            <w:tcBorders>
              <w:top w:val="single" w:color="auto" w:sz="4" w:space="0"/>
              <w:left w:val="single" w:color="auto" w:sz="8" w:space="0"/>
              <w:bottom w:val="single" w:color="auto" w:sz="8" w:space="0"/>
              <w:right w:val="single" w:color="000000" w:sz="8"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二、创新驱动</w:t>
            </w:r>
            <w:r>
              <w:rPr>
                <w:rFonts w:hint="eastAsia" w:ascii="仿宋_GB2312" w:hAnsi="仿宋_GB2312" w:eastAsia="仿宋_GB2312" w:cs="仿宋_GB2312"/>
                <w:color w:val="000000"/>
                <w:kern w:val="0"/>
                <w:sz w:val="21"/>
                <w:szCs w:val="21"/>
              </w:rPr>
              <w:t>　</w:t>
            </w:r>
          </w:p>
        </w:tc>
      </w:tr>
      <w:tr>
        <w:trPr>
          <w:trHeight w:val="369" w:hRule="atLeast"/>
          <w:jc w:val="center"/>
        </w:trPr>
        <w:tc>
          <w:tcPr>
            <w:tcW w:w="522" w:type="dxa"/>
            <w:tcBorders>
              <w:top w:val="nil"/>
              <w:left w:val="single" w:color="auto" w:sz="8" w:space="0"/>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3534" w:type="dxa"/>
            <w:gridSpan w:val="2"/>
            <w:tcBorders>
              <w:top w:val="single" w:color="auto" w:sz="8"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研发经费投入强度（%）</w:t>
            </w:r>
          </w:p>
        </w:tc>
        <w:tc>
          <w:tcPr>
            <w:tcW w:w="970"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2015" w:type="dxa"/>
            <w:tcBorders>
              <w:top w:val="nil"/>
              <w:left w:val="nil"/>
              <w:bottom w:val="single" w:color="auto" w:sz="4" w:space="0"/>
              <w:right w:val="single" w:color="auto" w:sz="8" w:space="0"/>
            </w:tcBorders>
            <w:vAlign w:val="center"/>
          </w:tcPr>
          <w:p>
            <w:pPr>
              <w:widowControl/>
              <w:jc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12</w:t>
            </w:r>
          </w:p>
        </w:tc>
        <w:tc>
          <w:tcPr>
            <w:tcW w:w="1188"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58" w:hRule="atLeast"/>
          <w:jc w:val="center"/>
        </w:trPr>
        <w:tc>
          <w:tcPr>
            <w:tcW w:w="522"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w:t>
            </w:r>
          </w:p>
        </w:tc>
        <w:tc>
          <w:tcPr>
            <w:tcW w:w="3534" w:type="dxa"/>
            <w:gridSpan w:val="2"/>
            <w:tcBorders>
              <w:top w:val="single" w:color="auto" w:sz="4"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每万人口拥有高价值发明专利数（件）</w:t>
            </w:r>
          </w:p>
        </w:tc>
        <w:tc>
          <w:tcPr>
            <w:tcW w:w="970" w:type="dxa"/>
            <w:tcBorders>
              <w:top w:val="single" w:color="auto" w:sz="4"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0.99</w:t>
            </w:r>
          </w:p>
        </w:tc>
        <w:tc>
          <w:tcPr>
            <w:tcW w:w="1151" w:type="dxa"/>
            <w:tcBorders>
              <w:top w:val="single" w:color="auto" w:sz="4"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2015" w:type="dxa"/>
            <w:tcBorders>
              <w:top w:val="single" w:color="auto" w:sz="4"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58" w:hRule="atLeast"/>
          <w:jc w:val="center"/>
        </w:trPr>
        <w:tc>
          <w:tcPr>
            <w:tcW w:w="9380" w:type="dxa"/>
            <w:gridSpan w:val="7"/>
            <w:tcBorders>
              <w:top w:val="single" w:color="auto" w:sz="4" w:space="0"/>
              <w:left w:val="single" w:color="auto" w:sz="8" w:space="0"/>
              <w:bottom w:val="single" w:color="auto" w:sz="8" w:space="0"/>
              <w:right w:val="single" w:color="000000" w:sz="8"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三、民生福祉</w:t>
            </w:r>
            <w:r>
              <w:rPr>
                <w:rFonts w:hint="eastAsia" w:ascii="仿宋_GB2312" w:hAnsi="仿宋_GB2312" w:eastAsia="仿宋_GB2312" w:cs="仿宋_GB2312"/>
                <w:color w:val="000000"/>
                <w:kern w:val="0"/>
                <w:sz w:val="21"/>
                <w:szCs w:val="21"/>
              </w:rPr>
              <w:t>　</w:t>
            </w:r>
          </w:p>
        </w:tc>
      </w:tr>
      <w:tr>
        <w:trPr>
          <w:trHeight w:val="369" w:hRule="atLeast"/>
          <w:jc w:val="center"/>
        </w:trPr>
        <w:tc>
          <w:tcPr>
            <w:tcW w:w="522" w:type="dxa"/>
            <w:tcBorders>
              <w:top w:val="nil"/>
              <w:left w:val="single" w:color="auto" w:sz="8" w:space="0"/>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3534" w:type="dxa"/>
            <w:gridSpan w:val="2"/>
            <w:tcBorders>
              <w:top w:val="single" w:color="auto" w:sz="8"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居民人均可支配收入（元）</w:t>
            </w:r>
          </w:p>
        </w:tc>
        <w:tc>
          <w:tcPr>
            <w:tcW w:w="970"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51"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2015"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8</w:t>
            </w:r>
            <w:r>
              <w:rPr>
                <w:rFonts w:hint="eastAsia" w:ascii="仿宋_GB2312" w:hAnsi="仿宋_GB2312" w:eastAsia="仿宋_GB2312" w:cs="仿宋_GB2312"/>
                <w:color w:val="000000"/>
                <w:kern w:val="0"/>
                <w:sz w:val="21"/>
                <w:szCs w:val="21"/>
              </w:rPr>
              <w:t>.5</w:t>
            </w:r>
          </w:p>
        </w:tc>
        <w:tc>
          <w:tcPr>
            <w:tcW w:w="1188" w:type="dxa"/>
            <w:tcBorders>
              <w:top w:val="nil"/>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58" w:hRule="atLeast"/>
          <w:jc w:val="center"/>
        </w:trPr>
        <w:tc>
          <w:tcPr>
            <w:tcW w:w="522" w:type="dxa"/>
            <w:vMerge w:val="restart"/>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w:t>
            </w:r>
          </w:p>
        </w:tc>
        <w:tc>
          <w:tcPr>
            <w:tcW w:w="1132" w:type="dxa"/>
            <w:vMerge w:val="restart"/>
            <w:tcBorders>
              <w:top w:val="single" w:color="auto" w:sz="4" w:space="0"/>
              <w:left w:val="single" w:color="auto" w:sz="8" w:space="0"/>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城镇就业</w:t>
            </w:r>
          </w:p>
        </w:tc>
        <w:tc>
          <w:tcPr>
            <w:tcW w:w="2402" w:type="dxa"/>
            <w:tcBorders>
              <w:top w:val="single" w:color="auto" w:sz="4"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城镇调查失业率（%）</w:t>
            </w:r>
          </w:p>
        </w:tc>
        <w:tc>
          <w:tcPr>
            <w:tcW w:w="970" w:type="dxa"/>
            <w:tcBorders>
              <w:top w:val="single" w:color="auto" w:sz="4"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2.94</w:t>
            </w:r>
          </w:p>
        </w:tc>
        <w:tc>
          <w:tcPr>
            <w:tcW w:w="1151" w:type="dxa"/>
            <w:tcBorders>
              <w:top w:val="single" w:color="auto" w:sz="4"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以下</w:t>
            </w:r>
          </w:p>
        </w:tc>
        <w:tc>
          <w:tcPr>
            <w:tcW w:w="2015" w:type="dxa"/>
            <w:tcBorders>
              <w:top w:val="single" w:color="auto" w:sz="4" w:space="0"/>
              <w:left w:val="nil"/>
              <w:bottom w:val="single" w:color="auto" w:sz="4"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58" w:hRule="atLeast"/>
          <w:jc w:val="center"/>
        </w:trPr>
        <w:tc>
          <w:tcPr>
            <w:tcW w:w="522" w:type="dxa"/>
            <w:vMerge w:val="continue"/>
            <w:tcBorders>
              <w:top w:val="single" w:color="auto" w:sz="4" w:space="0"/>
              <w:left w:val="single" w:color="auto" w:sz="4" w:space="0"/>
              <w:bottom w:val="single" w:color="000000" w:sz="8" w:space="0"/>
              <w:right w:val="single" w:color="auto" w:sz="8" w:space="0"/>
            </w:tcBorders>
            <w:shd w:val="clear" w:color="auto" w:fill="auto"/>
            <w:vAlign w:val="center"/>
          </w:tcPr>
          <w:p>
            <w:pPr>
              <w:widowControl/>
              <w:jc w:val="left"/>
              <w:rPr>
                <w:rFonts w:hint="eastAsia" w:ascii="仿宋_GB2312" w:hAnsi="仿宋_GB2312" w:eastAsia="仿宋_GB2312" w:cs="仿宋_GB2312"/>
                <w:color w:val="000000"/>
                <w:kern w:val="0"/>
                <w:sz w:val="21"/>
                <w:szCs w:val="21"/>
              </w:rPr>
            </w:pPr>
          </w:p>
        </w:tc>
        <w:tc>
          <w:tcPr>
            <w:tcW w:w="1132"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left"/>
              <w:rPr>
                <w:rFonts w:hint="eastAsia" w:ascii="仿宋_GB2312" w:hAnsi="仿宋_GB2312" w:eastAsia="仿宋_GB2312" w:cs="仿宋_GB2312"/>
                <w:color w:val="000000"/>
                <w:kern w:val="0"/>
                <w:sz w:val="21"/>
                <w:szCs w:val="21"/>
              </w:rPr>
            </w:pPr>
          </w:p>
        </w:tc>
        <w:tc>
          <w:tcPr>
            <w:tcW w:w="2402" w:type="dxa"/>
            <w:tcBorders>
              <w:top w:val="single" w:color="auto" w:sz="4" w:space="0"/>
              <w:left w:val="nil"/>
              <w:bottom w:val="single" w:color="auto" w:sz="8" w:space="0"/>
              <w:right w:val="single" w:color="auto" w:sz="8" w:space="0"/>
            </w:tcBorders>
            <w:shd w:val="clear" w:color="000000"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城镇净增就业人数（人）</w:t>
            </w:r>
          </w:p>
        </w:tc>
        <w:tc>
          <w:tcPr>
            <w:tcW w:w="970" w:type="dxa"/>
            <w:tcBorders>
              <w:top w:val="single" w:color="auto" w:sz="4" w:space="0"/>
              <w:left w:val="nil"/>
              <w:bottom w:val="single" w:color="auto" w:sz="8" w:space="0"/>
              <w:right w:val="single" w:color="auto" w:sz="8" w:space="0"/>
            </w:tcBorders>
            <w:shd w:val="clear" w:color="000000"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9660</w:t>
            </w:r>
          </w:p>
        </w:tc>
        <w:tc>
          <w:tcPr>
            <w:tcW w:w="1151" w:type="dxa"/>
            <w:tcBorders>
              <w:top w:val="single" w:color="auto" w:sz="4" w:space="0"/>
              <w:left w:val="nil"/>
              <w:bottom w:val="single" w:color="auto" w:sz="8" w:space="0"/>
              <w:right w:val="single" w:color="auto" w:sz="8" w:space="0"/>
            </w:tcBorders>
            <w:shd w:val="clear" w:color="000000"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30000</w:t>
            </w:r>
            <w:r>
              <w:rPr>
                <w:rFonts w:hint="eastAsia" w:ascii="仿宋_GB2312" w:hAnsi="仿宋_GB2312" w:eastAsia="仿宋_GB2312" w:cs="仿宋_GB2312"/>
                <w:color w:val="000000"/>
                <w:kern w:val="0"/>
                <w:sz w:val="21"/>
                <w:szCs w:val="21"/>
              </w:rPr>
              <w:t>]</w:t>
            </w:r>
          </w:p>
        </w:tc>
        <w:tc>
          <w:tcPr>
            <w:tcW w:w="2015" w:type="dxa"/>
            <w:tcBorders>
              <w:top w:val="single" w:color="auto" w:sz="4" w:space="0"/>
              <w:left w:val="nil"/>
              <w:bottom w:val="single" w:color="auto" w:sz="8" w:space="0"/>
              <w:right w:val="single" w:color="auto" w:sz="8" w:space="0"/>
            </w:tcBorders>
            <w:shd w:val="clear" w:color="000000" w:fill="auto"/>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vMerge w:val="continue"/>
            <w:tcBorders>
              <w:top w:val="single" w:color="auto" w:sz="4" w:space="0"/>
              <w:left w:val="single" w:color="auto" w:sz="8" w:space="0"/>
              <w:bottom w:val="single" w:color="000000" w:sz="8" w:space="0"/>
              <w:right w:val="single" w:color="auto" w:sz="4" w:space="0"/>
            </w:tcBorders>
            <w:vAlign w:val="center"/>
          </w:tcPr>
          <w:p>
            <w:pPr>
              <w:widowControl/>
              <w:jc w:val="left"/>
              <w:rPr>
                <w:rFonts w:hint="eastAsia" w:ascii="仿宋_GB2312" w:hAnsi="仿宋_GB2312" w:eastAsia="仿宋_GB2312" w:cs="仿宋_GB2312"/>
                <w:color w:val="000000"/>
                <w:kern w:val="0"/>
                <w:sz w:val="21"/>
                <w:szCs w:val="21"/>
              </w:rPr>
            </w:pPr>
          </w:p>
        </w:tc>
      </w:tr>
      <w:tr>
        <w:trPr>
          <w:trHeight w:val="369"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人均预期寿命（岁）</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75.67</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76.22</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69"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劳动年龄人口平均受教育年限（年）</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约束性</w:t>
            </w:r>
          </w:p>
        </w:tc>
      </w:tr>
      <w:tr>
        <w:trPr>
          <w:trHeight w:val="369"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学前教育毛入园率（%）</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95</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95以上</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69"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基本养老保险参保率（%）</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98.5</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69" w:hRule="atLeast"/>
          <w:jc w:val="center"/>
        </w:trPr>
        <w:tc>
          <w:tcPr>
            <w:tcW w:w="9380" w:type="dxa"/>
            <w:gridSpan w:val="7"/>
            <w:tcBorders>
              <w:top w:val="single" w:color="auto" w:sz="8" w:space="0"/>
              <w:left w:val="single" w:color="auto" w:sz="8" w:space="0"/>
              <w:bottom w:val="single" w:color="auto" w:sz="8" w:space="0"/>
              <w:right w:val="single" w:color="000000" w:sz="8"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四、绿色转型</w:t>
            </w:r>
            <w:r>
              <w:rPr>
                <w:rFonts w:hint="eastAsia" w:ascii="仿宋_GB2312" w:hAnsi="仿宋_GB2312" w:eastAsia="仿宋_GB2312" w:cs="仿宋_GB2312"/>
                <w:color w:val="000000"/>
                <w:kern w:val="0"/>
                <w:sz w:val="21"/>
                <w:szCs w:val="21"/>
              </w:rPr>
              <w:t>　</w:t>
            </w:r>
          </w:p>
        </w:tc>
      </w:tr>
      <w:tr>
        <w:trPr>
          <w:trHeight w:val="369"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单位GDP建设用地降幅（%）</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约束性</w:t>
            </w:r>
          </w:p>
        </w:tc>
      </w:tr>
      <w:tr>
        <w:trPr>
          <w:trHeight w:val="716"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单位GDP能源消耗降幅（%）</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按上级下达目标</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约束性</w:t>
            </w:r>
          </w:p>
        </w:tc>
      </w:tr>
      <w:tr>
        <w:trPr>
          <w:trHeight w:val="716"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单位GDP用水降幅（%）</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59.4</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按上级下达目标</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约束性</w:t>
            </w:r>
          </w:p>
        </w:tc>
      </w:tr>
      <w:tr>
        <w:trPr>
          <w:trHeight w:val="716"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单位GDP二氧化碳排放量降幅（%）</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-7.91</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按上级下达目标</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约束性</w:t>
            </w:r>
          </w:p>
        </w:tc>
      </w:tr>
      <w:tr>
        <w:trPr>
          <w:trHeight w:val="716"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1"/>
                <w:szCs w:val="21"/>
                <w:lang w:val="en-US" w:eastAsia="zh-CN"/>
              </w:rPr>
              <w:t>8</w:t>
            </w:r>
          </w:p>
        </w:tc>
        <w:tc>
          <w:tcPr>
            <w:tcW w:w="3534" w:type="dxa"/>
            <w:gridSpan w:val="2"/>
            <w:tcBorders>
              <w:top w:val="single" w:color="auto" w:sz="8" w:space="0"/>
              <w:left w:val="nil"/>
              <w:bottom w:val="single" w:color="auto" w:sz="8" w:space="0"/>
              <w:right w:val="single" w:color="auto" w:sz="8" w:space="0"/>
            </w:tcBorders>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地表水达到或好于Ⅲ类水体比例（%）　</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按上级下达目标</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约束性</w:t>
            </w:r>
          </w:p>
        </w:tc>
      </w:tr>
      <w:tr>
        <w:trPr>
          <w:trHeight w:val="716" w:hRule="atLeast"/>
          <w:jc w:val="center"/>
        </w:trPr>
        <w:tc>
          <w:tcPr>
            <w:tcW w:w="522" w:type="dxa"/>
            <w:tcBorders>
              <w:top w:val="nil"/>
              <w:left w:val="single" w:color="auto" w:sz="8" w:space="0"/>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19</w:t>
            </w:r>
          </w:p>
        </w:tc>
        <w:tc>
          <w:tcPr>
            <w:tcW w:w="3534"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森林覆盖率（%）</w:t>
            </w:r>
          </w:p>
        </w:tc>
        <w:tc>
          <w:tcPr>
            <w:tcW w:w="970"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37.11</w:t>
            </w:r>
          </w:p>
        </w:tc>
        <w:tc>
          <w:tcPr>
            <w:tcW w:w="1151"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按上级下达目标</w:t>
            </w:r>
          </w:p>
        </w:tc>
        <w:tc>
          <w:tcPr>
            <w:tcW w:w="2015"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nil"/>
              <w:left w:val="nil"/>
              <w:bottom w:val="single" w:color="auto" w:sz="8" w:space="0"/>
              <w:right w:val="single" w:color="auto" w:sz="8"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69" w:hRule="atLeast"/>
          <w:jc w:val="center"/>
        </w:trPr>
        <w:tc>
          <w:tcPr>
            <w:tcW w:w="9380" w:type="dxa"/>
            <w:gridSpan w:val="7"/>
            <w:tcBorders>
              <w:top w:val="single" w:color="auto" w:sz="8" w:space="0"/>
              <w:left w:val="single" w:color="auto" w:sz="8" w:space="0"/>
              <w:bottom w:val="single" w:color="auto" w:sz="4" w:space="0"/>
              <w:right w:val="single" w:color="000000" w:sz="8"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
                <w:bCs/>
                <w:color w:val="000000"/>
                <w:kern w:val="0"/>
                <w:sz w:val="21"/>
                <w:szCs w:val="21"/>
              </w:rPr>
              <w:t>五、安全保障</w:t>
            </w:r>
            <w:r>
              <w:rPr>
                <w:rFonts w:hint="eastAsia" w:ascii="仿宋_GB2312" w:hAnsi="仿宋_GB2312" w:eastAsia="仿宋_GB2312" w:cs="仿宋_GB2312"/>
                <w:color w:val="000000"/>
                <w:kern w:val="0"/>
                <w:sz w:val="21"/>
                <w:szCs w:val="21"/>
              </w:rPr>
              <w:t>　</w:t>
            </w:r>
          </w:p>
        </w:tc>
      </w:tr>
      <w:tr>
        <w:trPr>
          <w:trHeight w:val="358"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2</w:t>
            </w:r>
            <w:r>
              <w:rPr>
                <w:rFonts w:hint="eastAsia" w:ascii="仿宋_GB2312" w:hAnsi="仿宋_GB2312" w:eastAsia="仿宋_GB2312" w:cs="仿宋_GB2312"/>
                <w:color w:val="000000"/>
                <w:kern w:val="0"/>
                <w:sz w:val="21"/>
                <w:szCs w:val="21"/>
                <w:lang w:val="en-US" w:eastAsia="zh-CN"/>
              </w:rPr>
              <w:t>0</w:t>
            </w:r>
          </w:p>
        </w:tc>
        <w:tc>
          <w:tcPr>
            <w:tcW w:w="35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粮食综合生产能力（亿斤）</w:t>
            </w:r>
          </w:p>
        </w:tc>
        <w:tc>
          <w:tcPr>
            <w:tcW w:w="9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7.4</w:t>
            </w:r>
          </w:p>
        </w:tc>
        <w:tc>
          <w:tcPr>
            <w:tcW w:w="11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w:t>
            </w:r>
          </w:p>
        </w:tc>
        <w:tc>
          <w:tcPr>
            <w:tcW w:w="2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rPr>
          <w:trHeight w:val="380" w:hRule="atLeast"/>
          <w:jc w:val="center"/>
        </w:trPr>
        <w:tc>
          <w:tcPr>
            <w:tcW w:w="9380" w:type="dxa"/>
            <w:gridSpan w:val="7"/>
            <w:tcBorders>
              <w:top w:val="single" w:color="auto" w:sz="4" w:space="0"/>
              <w:left w:val="single" w:color="auto" w:sz="8" w:space="0"/>
              <w:bottom w:val="single" w:color="auto" w:sz="8" w:space="0"/>
              <w:right w:val="single" w:color="auto" w:sz="8"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备注：2020年基数为初步预计数</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[]为五年累计数。</w:t>
            </w:r>
          </w:p>
        </w:tc>
      </w:tr>
    </w:tbl>
    <w:p>
      <w:pPr>
        <w:pStyle w:val="3"/>
        <w:sectPr>
          <w:footerReference r:id="rId4" w:type="default"/>
          <w:pgSz w:w="11850" w:h="16783"/>
          <w:pgMar w:top="1440" w:right="1800" w:bottom="1440" w:left="1800" w:header="851" w:footer="992" w:gutter="0"/>
          <w:pgNumType w:fmt="numberInDash" w:start="1"/>
          <w:cols w:space="720" w:num="1"/>
          <w:docGrid w:type="lines" w:linePitch="312"/>
        </w:sectPr>
      </w:pPr>
    </w:p>
    <w:p>
      <w:pPr>
        <w:pStyle w:val="43"/>
        <w:widowControl w:val="0"/>
        <w:wordWrap/>
        <w:spacing w:afterLines="50" w:line="580" w:lineRule="exact"/>
        <w:ind w:left="0" w:leftChars="0" w:right="0"/>
        <w:textAlignment w:val="auto"/>
        <w:rPr>
          <w:b/>
          <w:bCs/>
          <w:color w:val="000000"/>
          <w:sz w:val="36"/>
          <w:szCs w:val="36"/>
        </w:rPr>
      </w:pPr>
      <w:bookmarkStart w:id="17" w:name="_Toc25093"/>
      <w:bookmarkStart w:id="18" w:name="_Toc62991716"/>
      <w:r>
        <w:rPr>
          <w:rFonts w:hint="eastAsia"/>
          <w:b/>
          <w:bCs/>
          <w:color w:val="000000"/>
          <w:sz w:val="36"/>
          <w:szCs w:val="36"/>
        </w:rPr>
        <w:t>第三节  战略定位</w:t>
      </w:r>
      <w:bookmarkEnd w:id="17"/>
      <w:bookmarkEnd w:id="18"/>
    </w:p>
    <w:p>
      <w:pPr>
        <w:widowControl w:val="0"/>
        <w:wordWrap/>
        <w:autoSpaceDE w:val="0"/>
        <w:autoSpaceDN w:val="0"/>
        <w:adjustRightInd w:val="0"/>
        <w:snapToGrid w:val="0"/>
        <w:spacing w:line="580" w:lineRule="exact"/>
        <w:ind w:left="0" w:leftChars="0" w:right="0" w:firstLine="640" w:firstLineChars="200"/>
        <w:textAlignment w:val="auto"/>
        <w:rPr>
          <w:color w:val="000000"/>
        </w:rPr>
      </w:pPr>
      <w:r>
        <w:rPr>
          <w:rFonts w:hint="eastAsia" w:ascii="仿宋_GB2312" w:hAnsi="仿宋_GB2312" w:eastAsia="仿宋_GB2312" w:cs="仿宋_GB2312"/>
          <w:color w:val="000000"/>
          <w:sz w:val="32"/>
          <w:szCs w:val="32"/>
        </w:rPr>
        <w:t>未来五年我县的发展定位为：</w:t>
      </w:r>
      <w:r>
        <w:rPr>
          <w:rFonts w:hint="eastAsia" w:ascii="仿宋_GB2312" w:hAnsi="仿宋_GB2312" w:eastAsia="仿宋_GB2312" w:cs="仿宋_GB2312"/>
          <w:b/>
          <w:bCs/>
          <w:color w:val="000000"/>
          <w:sz w:val="32"/>
          <w:szCs w:val="32"/>
          <w:lang w:val="en-US" w:eastAsia="zh-CN"/>
        </w:rPr>
        <w:t>实现高质量发展跨越赶超</w:t>
      </w:r>
      <w:r>
        <w:rPr>
          <w:rFonts w:hint="eastAsia" w:ascii="仿宋_GB2312" w:hAnsi="仿宋_GB2312" w:eastAsia="仿宋_GB2312" w:cs="仿宋_GB2312"/>
          <w:color w:val="000000"/>
          <w:sz w:val="32"/>
          <w:szCs w:val="32"/>
          <w:lang w:val="en-US" w:eastAsia="zh-CN"/>
        </w:rPr>
        <w:t>。坚持速度与质量并重，树立标杆，奋力追赶，努力跻身全市、全省先进行列。</w:t>
      </w:r>
    </w:p>
    <w:p>
      <w:pPr>
        <w:pStyle w:val="43"/>
        <w:widowControl w:val="0"/>
        <w:wordWrap/>
        <w:spacing w:beforeLines="50" w:afterLines="50" w:line="580" w:lineRule="exact"/>
        <w:ind w:left="0" w:leftChars="0" w:right="0"/>
        <w:textAlignment w:val="auto"/>
        <w:rPr>
          <w:b/>
          <w:bCs/>
          <w:color w:val="000000"/>
          <w:sz w:val="36"/>
          <w:szCs w:val="36"/>
        </w:rPr>
      </w:pPr>
      <w:bookmarkStart w:id="19" w:name="_Toc3381"/>
      <w:bookmarkStart w:id="20" w:name="_Toc62991717"/>
      <w:r>
        <w:rPr>
          <w:rFonts w:hint="eastAsia"/>
          <w:b/>
          <w:bCs/>
          <w:color w:val="000000"/>
          <w:sz w:val="36"/>
          <w:szCs w:val="36"/>
        </w:rPr>
        <w:t>第四节  战略支撑</w:t>
      </w:r>
      <w:bookmarkEnd w:id="19"/>
      <w:bookmarkEnd w:id="20"/>
    </w:p>
    <w:p>
      <w:pPr>
        <w:pStyle w:val="27"/>
        <w:widowControl w:val="0"/>
        <w:wordWrap/>
        <w:autoSpaceDE w:val="0"/>
        <w:autoSpaceDN w:val="0"/>
        <w:adjustRightInd w:val="0"/>
        <w:snapToGrid w:val="0"/>
        <w:spacing w:before="0" w:after="0" w:line="72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bookmarkStart w:id="21" w:name="_Toc12518"/>
      <w:r>
        <w:rPr>
          <w:rFonts w:hint="eastAsia" w:ascii="仿宋_GB2312" w:hAnsi="仿宋_GB2312" w:eastAsia="仿宋_GB2312" w:cs="仿宋_GB2312"/>
          <w:color w:val="000000"/>
          <w:sz w:val="32"/>
          <w:szCs w:val="32"/>
        </w:rPr>
        <w:t>践行新发展理念，聚力</w:t>
      </w:r>
      <w:r>
        <w:rPr>
          <w:rFonts w:hint="eastAsia" w:ascii="仿宋_GB2312" w:hAnsi="仿宋_GB2312" w:eastAsia="仿宋_GB2312" w:cs="仿宋_GB2312"/>
          <w:color w:val="000000"/>
          <w:sz w:val="32"/>
          <w:szCs w:val="32"/>
          <w:lang w:val="en-US" w:eastAsia="zh-CN"/>
        </w:rPr>
        <w:t>六个坚定不移</w:t>
      </w:r>
      <w:r>
        <w:rPr>
          <w:rFonts w:hint="eastAsia" w:ascii="楷体_GB2312" w:hAnsi="楷体_GB2312" w:eastAsia="楷体_GB2312" w:cs="楷体_GB2312"/>
          <w:b/>
          <w:bCs/>
          <w:color w:val="000000"/>
          <w:sz w:val="32"/>
          <w:szCs w:val="32"/>
        </w:rPr>
        <w:t>。</w:t>
      </w:r>
    </w:p>
    <w:p>
      <w:pPr>
        <w:pStyle w:val="27"/>
        <w:widowControl w:val="0"/>
        <w:wordWrap/>
        <w:autoSpaceDE w:val="0"/>
        <w:autoSpaceDN w:val="0"/>
        <w:adjustRightInd w:val="0"/>
        <w:snapToGrid w:val="0"/>
        <w:spacing w:before="0" w:after="0" w:line="720" w:lineRule="exact"/>
        <w:ind w:left="0" w:leftChars="0" w:right="0" w:firstLine="0" w:firstLineChars="0"/>
        <w:jc w:val="both"/>
        <w:textAlignment w:val="auto"/>
        <w:outlineLvl w:val="9"/>
        <w:rPr>
          <w:rFonts w:hint="eastAsia" w:ascii="仿宋_GB2312" w:hAnsi="仿宋_GB2312" w:eastAsia="仿宋_GB2312" w:cs="仿宋_GB2312"/>
          <w:color w:val="000000"/>
          <w:spacing w:val="-13"/>
          <w:sz w:val="32"/>
          <w:szCs w:val="32"/>
          <w:lang w:eastAsia="zh-CN"/>
        </w:rPr>
      </w:pPr>
      <w:bookmarkStart w:id="22" w:name="_Toc62991718"/>
      <w:bookmarkStart w:id="23" w:name="_Toc16588"/>
      <w:r>
        <w:rPr>
          <w:rFonts w:hint="eastAsia" w:ascii="仿宋_GB2312" w:hAnsi="仿宋_GB2312" w:eastAsia="仿宋_GB2312" w:cs="仿宋_GB2312"/>
          <w:color w:val="000000"/>
          <w:spacing w:val="-13"/>
          <w:sz w:val="32"/>
          <w:szCs w:val="32"/>
          <w:lang w:eastAsia="zh-CN"/>
        </w:rPr>
        <w:t>——</w:t>
      </w:r>
      <w:r>
        <w:rPr>
          <w:rFonts w:hint="eastAsia" w:ascii="仿宋_GB2312" w:hAnsi="仿宋_GB2312" w:eastAsia="仿宋_GB2312" w:cs="仿宋_GB2312"/>
          <w:color w:val="000000"/>
          <w:spacing w:val="-13"/>
          <w:sz w:val="32"/>
          <w:szCs w:val="32"/>
        </w:rPr>
        <w:t>坚定不</w:t>
      </w:r>
      <w:r>
        <w:rPr>
          <w:rFonts w:hint="eastAsia" w:ascii="仿宋_GB2312" w:hAnsi="仿宋_GB2312" w:eastAsia="仿宋_GB2312" w:cs="仿宋_GB2312"/>
          <w:color w:val="000000"/>
          <w:spacing w:val="-13"/>
          <w:sz w:val="32"/>
          <w:szCs w:val="32"/>
        </w:rPr>
        <w:t>移做大做强工业，夯实高质量发展跨越赶超“硬支撑”</w:t>
      </w:r>
      <w:r>
        <w:rPr>
          <w:rFonts w:hint="eastAsia" w:ascii="仿宋_GB2312" w:hAnsi="仿宋_GB2312" w:eastAsia="仿宋_GB2312" w:cs="仿宋_GB2312"/>
          <w:color w:val="000000"/>
          <w:spacing w:val="-13"/>
          <w:sz w:val="32"/>
          <w:szCs w:val="32"/>
          <w:lang w:eastAsia="zh-CN"/>
        </w:rPr>
        <w:t>。</w:t>
      </w:r>
    </w:p>
    <w:p>
      <w:pPr>
        <w:pStyle w:val="27"/>
        <w:widowControl w:val="0"/>
        <w:wordWrap/>
        <w:autoSpaceDE w:val="0"/>
        <w:autoSpaceDN w:val="0"/>
        <w:adjustRightInd w:val="0"/>
        <w:snapToGrid w:val="0"/>
        <w:spacing w:before="0" w:after="0" w:line="720" w:lineRule="exact"/>
        <w:ind w:left="0" w:leftChars="0" w:right="0" w:firstLine="0" w:firstLineChars="0"/>
        <w:jc w:val="both"/>
        <w:textAlignment w:val="auto"/>
        <w:outlineLvl w:val="9"/>
        <w:rPr>
          <w:rFonts w:hint="eastAsia" w:ascii="仿宋_GB2312" w:hAnsi="仿宋_GB2312" w:eastAsia="仿宋_GB2312" w:cs="仿宋_GB2312"/>
          <w:color w:val="000000"/>
          <w:spacing w:val="-13"/>
          <w:sz w:val="32"/>
          <w:szCs w:val="32"/>
          <w:lang w:eastAsia="zh-CN"/>
        </w:rPr>
      </w:pPr>
      <w:r>
        <w:rPr>
          <w:rFonts w:hint="eastAsia" w:ascii="仿宋_GB2312" w:hAnsi="仿宋_GB2312" w:eastAsia="仿宋_GB2312" w:cs="仿宋_GB2312"/>
          <w:color w:val="000000"/>
          <w:spacing w:val="-13"/>
          <w:sz w:val="32"/>
          <w:szCs w:val="32"/>
          <w:lang w:eastAsia="zh-CN"/>
        </w:rPr>
        <w:t>——坚定不移激发创新活力，培育高质量发展跨越赶超“强引擎”。</w:t>
      </w:r>
    </w:p>
    <w:p>
      <w:pPr>
        <w:pStyle w:val="27"/>
        <w:widowControl w:val="0"/>
        <w:wordWrap/>
        <w:autoSpaceDE w:val="0"/>
        <w:autoSpaceDN w:val="0"/>
        <w:adjustRightInd w:val="0"/>
        <w:snapToGrid w:val="0"/>
        <w:spacing w:before="0" w:after="0" w:line="720" w:lineRule="exact"/>
        <w:ind w:left="0" w:leftChars="0" w:right="0" w:firstLine="0" w:firstLineChars="0"/>
        <w:jc w:val="both"/>
        <w:textAlignment w:val="auto"/>
        <w:outlineLvl w:val="9"/>
        <w:rPr>
          <w:rFonts w:hint="eastAsia" w:ascii="仿宋_GB2312" w:hAnsi="仿宋_GB2312" w:eastAsia="仿宋_GB2312" w:cs="仿宋_GB2312"/>
          <w:color w:val="000000"/>
          <w:spacing w:val="-13"/>
          <w:sz w:val="32"/>
          <w:szCs w:val="32"/>
          <w:lang w:eastAsia="zh-CN"/>
        </w:rPr>
      </w:pPr>
      <w:r>
        <w:rPr>
          <w:rFonts w:hint="eastAsia" w:ascii="仿宋_GB2312" w:hAnsi="仿宋_GB2312" w:eastAsia="仿宋_GB2312" w:cs="仿宋_GB2312"/>
          <w:color w:val="000000"/>
          <w:spacing w:val="-13"/>
          <w:sz w:val="32"/>
          <w:szCs w:val="32"/>
          <w:lang w:eastAsia="zh-CN"/>
        </w:rPr>
        <w:t>——坚定不移深化生态建设，厚植高质量发展跨越赶超“绿底色”。</w:t>
      </w:r>
    </w:p>
    <w:p>
      <w:pPr>
        <w:pStyle w:val="27"/>
        <w:widowControl w:val="0"/>
        <w:wordWrap/>
        <w:autoSpaceDE w:val="0"/>
        <w:autoSpaceDN w:val="0"/>
        <w:adjustRightInd w:val="0"/>
        <w:snapToGrid w:val="0"/>
        <w:spacing w:before="0" w:after="0" w:line="720" w:lineRule="exact"/>
        <w:ind w:left="0" w:leftChars="0" w:right="0" w:firstLine="0" w:firstLineChars="0"/>
        <w:jc w:val="both"/>
        <w:textAlignment w:val="auto"/>
        <w:outlineLvl w:val="9"/>
        <w:rPr>
          <w:rFonts w:hint="eastAsia" w:ascii="仿宋_GB2312" w:hAnsi="仿宋_GB2312" w:eastAsia="仿宋_GB2312" w:cs="仿宋_GB2312"/>
          <w:color w:val="000000"/>
          <w:spacing w:val="-13"/>
          <w:sz w:val="32"/>
          <w:szCs w:val="32"/>
          <w:lang w:eastAsia="zh-CN"/>
        </w:rPr>
      </w:pPr>
      <w:r>
        <w:rPr>
          <w:rFonts w:hint="eastAsia" w:ascii="仿宋_GB2312" w:hAnsi="仿宋_GB2312" w:eastAsia="仿宋_GB2312" w:cs="仿宋_GB2312"/>
          <w:color w:val="000000"/>
          <w:spacing w:val="-13"/>
          <w:sz w:val="32"/>
          <w:szCs w:val="32"/>
          <w:lang w:eastAsia="zh-CN"/>
        </w:rPr>
        <w:t>——坚定不移推进城乡统筹，构建高质量发展跨越赶超“新格局”。</w:t>
      </w:r>
    </w:p>
    <w:p>
      <w:pPr>
        <w:pStyle w:val="27"/>
        <w:widowControl w:val="0"/>
        <w:wordWrap/>
        <w:autoSpaceDE w:val="0"/>
        <w:autoSpaceDN w:val="0"/>
        <w:adjustRightInd w:val="0"/>
        <w:snapToGrid w:val="0"/>
        <w:spacing w:before="0" w:after="0" w:line="720" w:lineRule="exact"/>
        <w:ind w:left="0" w:leftChars="0" w:right="0" w:firstLine="0" w:firstLineChars="0"/>
        <w:jc w:val="both"/>
        <w:textAlignment w:val="auto"/>
        <w:outlineLvl w:val="9"/>
        <w:rPr>
          <w:rFonts w:hint="eastAsia" w:ascii="仿宋_GB2312" w:hAnsi="仿宋_GB2312" w:eastAsia="仿宋_GB2312" w:cs="仿宋_GB2312"/>
          <w:color w:val="000000"/>
          <w:spacing w:val="-13"/>
          <w:sz w:val="32"/>
          <w:szCs w:val="32"/>
          <w:lang w:eastAsia="zh-CN"/>
        </w:rPr>
      </w:pPr>
      <w:r>
        <w:rPr>
          <w:rFonts w:hint="eastAsia" w:ascii="仿宋_GB2312" w:hAnsi="仿宋_GB2312" w:eastAsia="仿宋_GB2312" w:cs="仿宋_GB2312"/>
          <w:color w:val="000000"/>
          <w:spacing w:val="-13"/>
          <w:sz w:val="32"/>
          <w:szCs w:val="32"/>
          <w:lang w:eastAsia="zh-CN"/>
        </w:rPr>
        <w:t>——坚定不移优化社会治理，提升高质量发展跨越赶超“软实力”。</w:t>
      </w:r>
    </w:p>
    <w:p>
      <w:pPr>
        <w:pStyle w:val="27"/>
        <w:widowControl w:val="0"/>
        <w:wordWrap/>
        <w:autoSpaceDE w:val="0"/>
        <w:autoSpaceDN w:val="0"/>
        <w:adjustRightInd w:val="0"/>
        <w:snapToGrid w:val="0"/>
        <w:spacing w:before="0" w:after="0" w:line="720" w:lineRule="exact"/>
        <w:ind w:left="0" w:leftChars="0" w:right="0" w:firstLine="0" w:firstLineChars="0"/>
        <w:jc w:val="both"/>
        <w:textAlignment w:val="auto"/>
        <w:outlineLvl w:val="9"/>
        <w:rPr>
          <w:rFonts w:hint="eastAsia" w:ascii="仿宋_GB2312" w:hAnsi="仿宋_GB2312" w:eastAsia="仿宋_GB2312" w:cs="仿宋_GB2312"/>
          <w:color w:val="000000"/>
          <w:spacing w:val="-13"/>
          <w:sz w:val="32"/>
          <w:szCs w:val="32"/>
          <w:lang w:eastAsia="zh-CN"/>
        </w:rPr>
      </w:pPr>
      <w:r>
        <w:rPr>
          <w:rFonts w:hint="eastAsia" w:ascii="仿宋_GB2312" w:hAnsi="仿宋_GB2312" w:eastAsia="仿宋_GB2312" w:cs="仿宋_GB2312"/>
          <w:color w:val="000000"/>
          <w:spacing w:val="-13"/>
          <w:sz w:val="32"/>
          <w:szCs w:val="32"/>
          <w:lang w:eastAsia="zh-CN"/>
        </w:rPr>
        <w:t>——坚定不移保障改善民生，共享高质量发展跨越赶超“新成果”。</w:t>
      </w:r>
    </w:p>
    <w:p>
      <w:pPr>
        <w:pStyle w:val="27"/>
        <w:widowControl w:val="0"/>
        <w:wordWrap/>
        <w:autoSpaceDE w:val="0"/>
        <w:autoSpaceDN w:val="0"/>
        <w:adjustRightInd w:val="0"/>
        <w:snapToGrid w:val="0"/>
        <w:spacing w:before="0" w:after="0" w:line="72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积极打造</w:t>
      </w:r>
      <w:r>
        <w:rPr>
          <w:rFonts w:hint="eastAsia" w:ascii="仿宋_GB2312" w:hAnsi="仿宋_GB2312" w:eastAsia="仿宋_GB2312" w:cs="仿宋_GB2312"/>
          <w:color w:val="000000"/>
          <w:sz w:val="32"/>
          <w:szCs w:val="32"/>
        </w:rPr>
        <w:t>中国牛肉第一城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中国炊具第一城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河南省重要的电气装备制造基地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中部地区知名的医用耗材产销基地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豫西南重要的陶瓷产销基地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豫西南重要的新型建材生产基地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中原智慧物流创新基地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中原绿色食品产销基地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依托郏县区位交通优势，打造平顶山对接郑州都市圈的门户枢纽。</w:t>
      </w:r>
    </w:p>
    <w:p>
      <w:pPr>
        <w:pStyle w:val="27"/>
        <w:autoSpaceDE w:val="0"/>
        <w:autoSpaceDN w:val="0"/>
        <w:adjustRightInd w:val="0"/>
        <w:snapToGrid w:val="0"/>
        <w:spacing w:line="580" w:lineRule="exact"/>
        <w:ind w:firstLine="640" w:firstLineChars="200"/>
        <w:rPr>
          <w:rFonts w:hint="eastAsia"/>
          <w:b/>
          <w:bCs/>
          <w:color w:val="000000"/>
          <w:sz w:val="36"/>
          <w:szCs w:val="36"/>
        </w:rPr>
      </w:pPr>
    </w:p>
    <w:p>
      <w:pPr>
        <w:pStyle w:val="27"/>
        <w:autoSpaceDE w:val="0"/>
        <w:autoSpaceDN w:val="0"/>
        <w:adjustRightInd w:val="0"/>
        <w:snapToGrid w:val="0"/>
        <w:spacing w:line="580" w:lineRule="exact"/>
        <w:ind w:firstLine="640" w:firstLineChars="200"/>
        <w:rPr>
          <w:rFonts w:hint="eastAsia"/>
          <w:b/>
          <w:bCs/>
          <w:color w:val="000000"/>
          <w:sz w:val="36"/>
          <w:szCs w:val="36"/>
        </w:rPr>
      </w:pPr>
    </w:p>
    <w:p>
      <w:pPr>
        <w:pStyle w:val="27"/>
        <w:autoSpaceDE w:val="0"/>
        <w:autoSpaceDN w:val="0"/>
        <w:adjustRightInd w:val="0"/>
        <w:snapToGrid w:val="0"/>
        <w:spacing w:line="580" w:lineRule="exact"/>
        <w:jc w:val="center"/>
        <w:rPr>
          <w:b/>
          <w:bCs/>
          <w:color w:val="000000"/>
          <w:sz w:val="36"/>
          <w:szCs w:val="36"/>
        </w:rPr>
      </w:pPr>
      <w:r>
        <w:rPr>
          <w:rFonts w:hint="eastAsia"/>
          <w:b/>
          <w:bCs/>
          <w:color w:val="000000"/>
          <w:sz w:val="36"/>
          <w:szCs w:val="36"/>
        </w:rPr>
        <w:t>第五节  发展布局</w:t>
      </w:r>
      <w:bookmarkEnd w:id="21"/>
      <w:bookmarkEnd w:id="22"/>
      <w:bookmarkEnd w:id="23"/>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围绕郏县战略定位要求，按照主体功能鲜明、区域发展协调、空间布局合理的原则，结合交通区位特点、产业基础优势、资源环境承载能力，以点带轴、以轴拓面，构建</w:t>
      </w:r>
      <w:r>
        <w:rPr>
          <w:rFonts w:hint="eastAsia" w:ascii="仿宋_GB2312" w:hAnsi="仿宋_GB2312" w:eastAsia="仿宋_GB2312" w:cs="仿宋_GB2312"/>
          <w:b/>
          <w:bCs/>
          <w:color w:val="000000"/>
          <w:sz w:val="32"/>
          <w:szCs w:val="32"/>
        </w:rPr>
        <w:t>“一核引领、三轴联动、四区协同、多点支撑”</w:t>
      </w:r>
      <w:r>
        <w:rPr>
          <w:rFonts w:hint="eastAsia" w:ascii="仿宋_GB2312" w:hAnsi="仿宋_GB2312" w:eastAsia="仿宋_GB2312" w:cs="仿宋_GB2312"/>
          <w:color w:val="000000"/>
          <w:sz w:val="32"/>
          <w:szCs w:val="32"/>
        </w:rPr>
        <w:t>的城乡一体化空间发展格局。</w:t>
      </w:r>
    </w:p>
    <w:p>
      <w:pPr>
        <w:autoSpaceDE w:val="0"/>
        <w:autoSpaceDN w:val="0"/>
        <w:adjustRightInd w:val="0"/>
        <w:snapToGrid w:val="0"/>
        <w:spacing w:line="60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“一核引领”：</w:t>
      </w:r>
      <w:r>
        <w:rPr>
          <w:rFonts w:hint="eastAsia" w:ascii="仿宋_GB2312" w:hAnsi="仿宋_GB2312" w:eastAsia="仿宋_GB2312" w:cs="仿宋_GB2312"/>
          <w:color w:val="000000"/>
          <w:sz w:val="32"/>
          <w:szCs w:val="32"/>
        </w:rPr>
        <w:t>依托郏县中心城区，统筹广阔天地乡、渣园乡、白庙乡、王集乡一体化发展，发挥要素集聚和辐射作用，强化南连平顶山、北接郑州都市圈的门户枢纽功能，打造成为引领全县经济社会发展的增长极。</w:t>
      </w:r>
    </w:p>
    <w:p>
      <w:pPr>
        <w:autoSpaceDE w:val="0"/>
        <w:autoSpaceDN w:val="0"/>
        <w:adjustRightInd w:val="0"/>
        <w:snapToGrid w:val="0"/>
        <w:spacing w:line="60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“三轴联动”：</w:t>
      </w:r>
      <w:r>
        <w:rPr>
          <w:rFonts w:hint="eastAsia" w:ascii="仿宋_GB2312" w:hAnsi="仿宋_GB2312" w:eastAsia="仿宋_GB2312" w:cs="仿宋_GB2312"/>
          <w:color w:val="000000"/>
          <w:sz w:val="32"/>
          <w:szCs w:val="32"/>
        </w:rPr>
        <w:t>充分发挥干线公路大通道的传导作用，以G</w:t>
      </w:r>
      <w:r>
        <w:rPr>
          <w:rFonts w:ascii="仿宋_GB2312" w:hAnsi="仿宋_GB2312" w:eastAsia="仿宋_GB2312" w:cs="仿宋_GB2312"/>
          <w:color w:val="000000"/>
          <w:sz w:val="32"/>
          <w:szCs w:val="32"/>
        </w:rPr>
        <w:t>344</w:t>
      </w:r>
      <w:r>
        <w:rPr>
          <w:rFonts w:hint="eastAsia" w:ascii="仿宋_GB2312" w:hAnsi="仿宋_GB2312" w:eastAsia="仿宋_GB2312" w:cs="仿宋_GB2312"/>
          <w:color w:val="000000"/>
          <w:sz w:val="32"/>
          <w:szCs w:val="32"/>
        </w:rPr>
        <w:t>、S236—平郏快速通道为主轴，构建贯通腹地、沟通内外的“十字形”辐射带动轴；加强冢头镇-长桥镇-堂街镇-姚庄</w:t>
      </w:r>
      <w:r>
        <w:rPr>
          <w:rFonts w:hint="eastAsia" w:ascii="仿宋_GB2312" w:hAnsi="仿宋_GB2312" w:eastAsia="仿宋_GB2312" w:cs="仿宋_GB2312"/>
          <w:color w:val="000000"/>
          <w:sz w:val="32"/>
          <w:szCs w:val="32"/>
          <w:lang w:val="en-US" w:eastAsia="zh-CN"/>
        </w:rPr>
        <w:t>回族</w:t>
      </w:r>
      <w:r>
        <w:rPr>
          <w:rFonts w:hint="eastAsia" w:ascii="仿宋_GB2312" w:hAnsi="仿宋_GB2312" w:eastAsia="仿宋_GB2312" w:cs="仿宋_GB2312"/>
          <w:color w:val="000000"/>
          <w:sz w:val="32"/>
          <w:szCs w:val="32"/>
        </w:rPr>
        <w:t>乡-李口镇道路建设，形成东部南北向发展轴，实现县域以“双十字”为骨架的联动发展效应，促进县域经济发展。</w:t>
      </w:r>
    </w:p>
    <w:p>
      <w:pPr>
        <w:autoSpaceDE w:val="0"/>
        <w:autoSpaceDN w:val="0"/>
        <w:adjustRightInd w:val="0"/>
        <w:snapToGrid w:val="0"/>
        <w:spacing w:line="60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“四区协同”：</w:t>
      </w:r>
      <w:r>
        <w:rPr>
          <w:rFonts w:hint="eastAsia" w:ascii="仿宋_GB2312" w:hAnsi="仿宋_GB2312" w:eastAsia="仿宋_GB2312" w:cs="仿宋_GB2312"/>
          <w:color w:val="000000"/>
          <w:sz w:val="32"/>
          <w:szCs w:val="32"/>
        </w:rPr>
        <w:t>结合</w:t>
      </w:r>
      <w:r>
        <w:rPr>
          <w:rFonts w:ascii="仿宋_GB2312" w:hAnsi="仿宋_GB2312" w:eastAsia="仿宋_GB2312" w:cs="仿宋_GB2312"/>
          <w:color w:val="000000"/>
          <w:sz w:val="32"/>
          <w:szCs w:val="32"/>
        </w:rPr>
        <w:t>中心城区</w:t>
      </w:r>
      <w:r>
        <w:rPr>
          <w:rFonts w:hint="eastAsia" w:ascii="仿宋_GB2312" w:hAnsi="仿宋_GB2312" w:eastAsia="仿宋_GB2312" w:cs="仿宋_GB2312"/>
          <w:color w:val="000000"/>
          <w:sz w:val="32"/>
          <w:szCs w:val="32"/>
        </w:rPr>
        <w:t>与</w:t>
      </w:r>
      <w:r>
        <w:rPr>
          <w:rFonts w:ascii="仿宋_GB2312" w:hAnsi="仿宋_GB2312" w:eastAsia="仿宋_GB2312" w:cs="仿宋_GB2312"/>
          <w:color w:val="000000"/>
          <w:sz w:val="32"/>
          <w:szCs w:val="32"/>
        </w:rPr>
        <w:t>各乡镇</w:t>
      </w:r>
      <w:r>
        <w:rPr>
          <w:rFonts w:hint="eastAsia" w:ascii="仿宋_GB2312" w:hAnsi="仿宋_GB2312" w:eastAsia="仿宋_GB2312" w:cs="仿宋_GB2312"/>
          <w:color w:val="000000"/>
          <w:sz w:val="32"/>
          <w:szCs w:val="32"/>
        </w:rPr>
        <w:t>的资源</w:t>
      </w:r>
      <w:r>
        <w:rPr>
          <w:rFonts w:ascii="仿宋_GB2312" w:hAnsi="仿宋_GB2312" w:eastAsia="仿宋_GB2312" w:cs="仿宋_GB2312"/>
          <w:color w:val="000000"/>
          <w:sz w:val="32"/>
          <w:szCs w:val="32"/>
        </w:rPr>
        <w:t>特色和发展基础</w:t>
      </w:r>
      <w:r>
        <w:rPr>
          <w:rFonts w:hint="eastAsia" w:ascii="仿宋_GB2312" w:hAnsi="仿宋_GB2312" w:eastAsia="仿宋_GB2312" w:cs="仿宋_GB2312"/>
          <w:color w:val="000000"/>
          <w:sz w:val="32"/>
          <w:szCs w:val="32"/>
        </w:rPr>
        <w:t>，打造中部</w:t>
      </w:r>
      <w:r>
        <w:rPr>
          <w:rFonts w:ascii="仿宋_GB2312" w:hAnsi="仿宋_GB2312" w:eastAsia="仿宋_GB2312" w:cs="仿宋_GB2312"/>
          <w:color w:val="000000"/>
          <w:sz w:val="32"/>
          <w:szCs w:val="32"/>
        </w:rPr>
        <w:t>城乡融合发展</w:t>
      </w:r>
      <w:r>
        <w:rPr>
          <w:rFonts w:hint="eastAsia" w:ascii="仿宋_GB2312" w:hAnsi="仿宋_GB2312" w:eastAsia="仿宋_GB2312" w:cs="仿宋_GB2312"/>
          <w:color w:val="000000"/>
          <w:sz w:val="32"/>
          <w:szCs w:val="32"/>
        </w:rPr>
        <w:t>引领</w:t>
      </w:r>
      <w:r>
        <w:rPr>
          <w:rFonts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rPr>
        <w:t>和北部</w:t>
      </w:r>
      <w:r>
        <w:rPr>
          <w:rFonts w:ascii="仿宋_GB2312" w:hAnsi="仿宋_GB2312" w:eastAsia="仿宋_GB2312" w:cs="仿宋_GB2312"/>
          <w:color w:val="000000"/>
          <w:sz w:val="32"/>
          <w:szCs w:val="32"/>
        </w:rPr>
        <w:t>特色产业发展区、</w:t>
      </w:r>
      <w:r>
        <w:rPr>
          <w:rFonts w:hint="eastAsia" w:ascii="仿宋_GB2312" w:hAnsi="仿宋_GB2312" w:eastAsia="仿宋_GB2312" w:cs="仿宋_GB2312"/>
          <w:color w:val="000000"/>
          <w:sz w:val="32"/>
          <w:szCs w:val="32"/>
        </w:rPr>
        <w:t>东部</w:t>
      </w:r>
      <w:r>
        <w:rPr>
          <w:rFonts w:ascii="仿宋_GB2312" w:hAnsi="仿宋_GB2312" w:eastAsia="仿宋_GB2312" w:cs="仿宋_GB2312"/>
          <w:color w:val="000000"/>
          <w:sz w:val="32"/>
          <w:szCs w:val="32"/>
        </w:rPr>
        <w:t>现代农业发展区</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南部文化旅游发展区</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形成四大功能区</w:t>
      </w:r>
      <w:r>
        <w:rPr>
          <w:rFonts w:hint="eastAsia" w:ascii="仿宋_GB2312" w:hAnsi="仿宋_GB2312" w:eastAsia="仿宋_GB2312" w:cs="仿宋_GB2312"/>
          <w:color w:val="000000"/>
          <w:sz w:val="32"/>
          <w:szCs w:val="32"/>
        </w:rPr>
        <w:t>协同</w:t>
      </w:r>
      <w:r>
        <w:rPr>
          <w:rFonts w:ascii="仿宋_GB2312" w:hAnsi="仿宋_GB2312" w:eastAsia="仿宋_GB2312" w:cs="仿宋_GB2312"/>
          <w:color w:val="000000"/>
          <w:sz w:val="32"/>
          <w:szCs w:val="32"/>
        </w:rPr>
        <w:t>发展格局。</w:t>
      </w:r>
    </w:p>
    <w:p>
      <w:pPr>
        <w:autoSpaceDE w:val="0"/>
        <w:autoSpaceDN w:val="0"/>
        <w:adjustRightInd w:val="0"/>
        <w:snapToGrid w:val="0"/>
        <w:spacing w:line="60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 xml:space="preserve"> “多点支撑”：</w:t>
      </w:r>
      <w:r>
        <w:rPr>
          <w:rFonts w:hint="eastAsia" w:ascii="仿宋_GB2312" w:hAnsi="仿宋_GB2312" w:eastAsia="仿宋_GB2312" w:cs="仿宋_GB2312"/>
          <w:color w:val="000000"/>
          <w:sz w:val="32"/>
          <w:szCs w:val="32"/>
        </w:rPr>
        <w:t>完善城镇功能，加快发展全域旅游、商贸物流、农产品加工等产业，促进乡村一二三产业融合发展，吸引人口集聚，成为带动县域社会经济发展的重要支撑点。</w:t>
      </w:r>
    </w:p>
    <w:p>
      <w:pPr>
        <w:pStyle w:val="41"/>
        <w:spacing w:beforeLines="100" w:afterLines="100" w:line="580" w:lineRule="exact"/>
        <w:ind w:left="420"/>
        <w:rPr>
          <w:rFonts w:hint="eastAsia" w:ascii="方正小标宋_GBK" w:hAnsi="方正小标宋_GBK" w:eastAsia="方正小标宋_GBK" w:cs="方正小标宋_GBK"/>
          <w:b w:val="0"/>
          <w:color w:val="000000"/>
          <w:sz w:val="32"/>
          <w:szCs w:val="32"/>
        </w:rPr>
      </w:pPr>
      <w:bookmarkStart w:id="24" w:name="_Toc9214"/>
      <w:r>
        <w:rPr>
          <w:rFonts w:hint="eastAsia" w:ascii="方正小标宋_GBK" w:hAnsi="方正小标宋_GBK" w:eastAsia="方正小标宋_GBK" w:cs="方正小标宋_GBK"/>
          <w:b w:val="0"/>
          <w:color w:val="000000"/>
          <w:sz w:val="32"/>
          <w:szCs w:val="32"/>
        </w:rPr>
        <w:t>第二篇  坚持创新驱动，打造高质量发展新引擎</w:t>
      </w:r>
      <w:bookmarkEnd w:id="13"/>
      <w:bookmarkEnd w:id="24"/>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坚持创新在经济社会发展全局中的核心地位，全面实施创新驱动战略，统筹推进自主创新和开放创新、技术创新和体制机制创新，实现以创新为引领的高质量发展，将郏县打造成创新创业高地。</w:t>
      </w:r>
    </w:p>
    <w:p>
      <w:pPr>
        <w:pStyle w:val="42"/>
        <w:keepNext/>
        <w:keepLines/>
        <w:widowControl w:val="0"/>
        <w:wordWrap/>
        <w:adjustRightInd/>
        <w:snapToGrid/>
        <w:spacing w:beforeLines="50" w:afterLines="50" w:line="580" w:lineRule="exact"/>
        <w:ind w:left="0" w:leftChars="0" w:right="0" w:firstLine="0" w:firstLineChars="0"/>
        <w:jc w:val="center"/>
        <w:textAlignment w:val="auto"/>
        <w:outlineLvl w:val="1"/>
        <w:rPr>
          <w:b w:val="0"/>
          <w:bCs/>
          <w:color w:val="000000"/>
          <w:szCs w:val="32"/>
        </w:rPr>
      </w:pPr>
      <w:bookmarkStart w:id="25" w:name="_Toc26678"/>
      <w:bookmarkStart w:id="26" w:name="_Toc62991720"/>
      <w:r>
        <w:rPr>
          <w:rFonts w:hint="eastAsia"/>
          <w:b w:val="0"/>
          <w:bCs/>
          <w:color w:val="000000"/>
          <w:szCs w:val="32"/>
        </w:rPr>
        <w:t>第一章  提升企业创新创业能力</w:t>
      </w:r>
      <w:bookmarkEnd w:id="25"/>
      <w:bookmarkEnd w:id="26"/>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完善企业创新引导促进和梯次培育机制，充分发挥企业在创新决策、研发投入、科研组织和成果应用中的主体作用，使企业成为创新要素集成、科技成果转化的生力军。</w:t>
      </w:r>
    </w:p>
    <w:p>
      <w:pPr>
        <w:pStyle w:val="43"/>
        <w:spacing w:beforeLines="50" w:afterLines="50"/>
        <w:rPr>
          <w:b/>
          <w:bCs/>
          <w:color w:val="000000"/>
          <w:sz w:val="36"/>
          <w:szCs w:val="36"/>
        </w:rPr>
      </w:pPr>
      <w:bookmarkStart w:id="27" w:name="_Toc62991721"/>
      <w:bookmarkStart w:id="28" w:name="_Toc23317"/>
      <w:r>
        <w:rPr>
          <w:rFonts w:hint="eastAsia"/>
          <w:b/>
          <w:bCs/>
          <w:color w:val="000000"/>
          <w:sz w:val="36"/>
          <w:szCs w:val="36"/>
        </w:rPr>
        <w:t>第一节  强化企业创新主体地位</w:t>
      </w:r>
      <w:bookmarkEnd w:id="27"/>
      <w:bookmarkEnd w:id="28"/>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发挥大企业带动作用，以平煤机煤矿机械装备有限公司、圣光集团、天晟电气股份有限公司、</w:t>
      </w:r>
      <w:r>
        <w:rPr>
          <w:rFonts w:ascii="仿宋_GB2312" w:hAnsi="仿宋_GB2312" w:eastAsia="仿宋_GB2312" w:cs="仿宋_GB2312"/>
          <w:color w:val="000000"/>
          <w:sz w:val="32"/>
          <w:szCs w:val="32"/>
        </w:rPr>
        <w:t>河南华邦电器炊具有限公司</w:t>
      </w:r>
      <w:r>
        <w:rPr>
          <w:rFonts w:hint="eastAsia" w:ascii="仿宋_GB2312" w:hAnsi="仿宋_GB2312" w:eastAsia="仿宋_GB2312" w:cs="仿宋_GB2312"/>
          <w:color w:val="000000"/>
          <w:sz w:val="32"/>
          <w:szCs w:val="32"/>
        </w:rPr>
        <w:t>、中联天广水泥等企业为依托，发展一批创新引领型企业。发挥中小微企业体制机制灵活的优势，促进中小微企业与大企业合作开展技术创新，围绕产业链打造技术创新合作网络和利益共同体。</w:t>
      </w:r>
    </w:p>
    <w:p>
      <w:pPr>
        <w:pStyle w:val="43"/>
        <w:spacing w:beforeLines="50" w:afterLines="50"/>
        <w:rPr>
          <w:b/>
          <w:bCs/>
          <w:color w:val="000000"/>
          <w:sz w:val="36"/>
          <w:szCs w:val="36"/>
        </w:rPr>
      </w:pPr>
      <w:bookmarkStart w:id="29" w:name="_Toc26898"/>
      <w:bookmarkStart w:id="30" w:name="_Toc62991722"/>
      <w:r>
        <w:rPr>
          <w:rFonts w:hint="eastAsia"/>
          <w:b/>
          <w:bCs/>
          <w:color w:val="000000"/>
          <w:sz w:val="36"/>
          <w:szCs w:val="36"/>
        </w:rPr>
        <w:t>第二节  培育壮大创新型企业群体</w:t>
      </w:r>
      <w:bookmarkEnd w:id="29"/>
      <w:bookmarkEnd w:id="30"/>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台实施制造业“头雁”企业培育计划，做强一批龙头企业，培育一批“单项冠军”企业和“专精特新”小巨人企业，加快小微企业上规模，推动大中小企业融通发展。实施高新技术企业培育工程，建设高新技术企业后备企业库，加强专业化精准化培训服务，完善科创企业全程孵化和成长促进机制。</w:t>
      </w:r>
    </w:p>
    <w:p>
      <w:pPr>
        <w:pStyle w:val="43"/>
        <w:spacing w:beforeLines="50" w:afterLines="50"/>
        <w:rPr>
          <w:b/>
          <w:bCs/>
          <w:color w:val="000000"/>
          <w:sz w:val="36"/>
          <w:szCs w:val="36"/>
        </w:rPr>
      </w:pPr>
      <w:bookmarkStart w:id="31" w:name="_Toc62991723"/>
      <w:bookmarkStart w:id="32" w:name="_Toc23487"/>
      <w:r>
        <w:rPr>
          <w:rFonts w:hint="eastAsia"/>
          <w:b/>
          <w:bCs/>
          <w:color w:val="000000"/>
          <w:sz w:val="36"/>
          <w:szCs w:val="36"/>
        </w:rPr>
        <w:t>第三节  聚力高水平创新平台建设</w:t>
      </w:r>
      <w:bookmarkEnd w:id="31"/>
      <w:bookmarkEnd w:id="32"/>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企业牵头或与省内外高校、科研院所合作建设重点实验室、工程技术研究中心、企业技术中心、院士工作站、博士后科研工作站。引导企业依托现有7个省级研发中心，联合成立产业技术创新战略联盟，争取国家和省重大科技基础设施、综合性产业创新中心等平台在郏县布局。推动产学研协同创新，对接平顶山学院等本地和省内外教育资源，打造“政校企”三位一体创新平台。引导科技成果在县域落地转化，积极对接科研院所、知名企业，引进设立分支机构和科技成果转化基地。</w:t>
      </w:r>
    </w:p>
    <w:p>
      <w:pPr>
        <w:pStyle w:val="42"/>
        <w:keepNext/>
        <w:keepLines/>
        <w:widowControl w:val="0"/>
        <w:wordWrap/>
        <w:adjustRightInd/>
        <w:snapToGrid/>
        <w:spacing w:beforeLines="50" w:afterLines="50" w:line="580" w:lineRule="exact"/>
        <w:ind w:left="0" w:leftChars="0" w:right="0" w:firstLine="0" w:firstLineChars="0"/>
        <w:jc w:val="center"/>
        <w:textAlignment w:val="auto"/>
        <w:outlineLvl w:val="1"/>
        <w:rPr>
          <w:b w:val="0"/>
          <w:bCs/>
          <w:color w:val="000000"/>
          <w:szCs w:val="32"/>
        </w:rPr>
      </w:pPr>
      <w:bookmarkStart w:id="33" w:name="_Toc62991724"/>
      <w:bookmarkStart w:id="34" w:name="_Toc31869"/>
      <w:r>
        <w:rPr>
          <w:rFonts w:hint="eastAsia"/>
          <w:b w:val="0"/>
          <w:bCs/>
          <w:color w:val="000000"/>
          <w:szCs w:val="32"/>
        </w:rPr>
        <w:t>第二章  壮大创新创业人才队伍</w:t>
      </w:r>
      <w:bookmarkEnd w:id="33"/>
      <w:bookmarkEnd w:id="34"/>
    </w:p>
    <w:p>
      <w:pPr>
        <w:pStyle w:val="3"/>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化人才发展体制机制改革，壮大优秀人才队伍，激发人才创新活力，坚持以事业留人、以待遇留人、以感情留人、以制度留人，出台人才强县实施意见，建设人才小区、专家公寓，实施“人才安郏”工程，打造优秀人才汇聚地，为经济高质量发展注入强劲动力。</w:t>
      </w:r>
    </w:p>
    <w:p>
      <w:pPr>
        <w:pStyle w:val="43"/>
        <w:spacing w:beforeLines="50" w:afterLines="50"/>
        <w:rPr>
          <w:b/>
          <w:bCs/>
          <w:color w:val="000000"/>
          <w:sz w:val="36"/>
          <w:szCs w:val="36"/>
        </w:rPr>
      </w:pPr>
      <w:bookmarkStart w:id="35" w:name="_Toc997"/>
      <w:bookmarkStart w:id="36" w:name="_Toc62991725"/>
      <w:r>
        <w:rPr>
          <w:rFonts w:hint="eastAsia"/>
          <w:b/>
          <w:bCs/>
          <w:color w:val="000000"/>
          <w:sz w:val="36"/>
          <w:szCs w:val="36"/>
        </w:rPr>
        <w:t>第一节  加大创新型人才引进力度</w:t>
      </w:r>
      <w:bookmarkEnd w:id="35"/>
      <w:bookmarkEnd w:id="36"/>
    </w:p>
    <w:p>
      <w:pPr>
        <w:pStyle w:val="27"/>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郏县科技创新专业园区为载体，围绕装备制造、食品加工、铁锅陶瓷等重点产业和战略性新兴产业，采用“人才+项目+平台”的形式，大力培养和引进高端人才和创新创业团队。依托河南省招才引智平台、平顶山“鹰城英才计划”等相关支持政策，柔性引进一批高层次人才、领军人才、创</w:t>
      </w:r>
      <w:r>
        <w:rPr>
          <w:rFonts w:hint="eastAsia" w:ascii="仿宋_GB2312" w:hAnsi="仿宋_GB2312" w:eastAsia="仿宋_GB2312" w:cs="仿宋_GB2312"/>
          <w:color w:val="000000"/>
          <w:spacing w:val="-6"/>
          <w:sz w:val="32"/>
          <w:szCs w:val="32"/>
        </w:rPr>
        <w:t>新人才和高级技工人才等。建立重大技术需求项目库、高层次人才专家库和高水平技术成果库，加强与郏县籍在外有重大影响力的科技人才、领军企业家、科研机构专家的对接合</w:t>
      </w:r>
      <w:r>
        <w:rPr>
          <w:rFonts w:hint="eastAsia" w:ascii="仿宋_GB2312" w:hAnsi="仿宋_GB2312" w:eastAsia="仿宋_GB2312" w:cs="仿宋_GB2312"/>
          <w:color w:val="000000"/>
          <w:sz w:val="32"/>
          <w:szCs w:val="32"/>
        </w:rPr>
        <w:t>作。</w:t>
      </w:r>
    </w:p>
    <w:p>
      <w:pPr>
        <w:pStyle w:val="43"/>
        <w:spacing w:afterLines="50"/>
        <w:rPr>
          <w:b/>
          <w:bCs/>
          <w:color w:val="000000"/>
          <w:sz w:val="36"/>
          <w:szCs w:val="36"/>
        </w:rPr>
      </w:pPr>
      <w:bookmarkStart w:id="37" w:name="_Toc62991726"/>
      <w:bookmarkStart w:id="38" w:name="_Toc29940"/>
      <w:r>
        <w:rPr>
          <w:rFonts w:hint="eastAsia"/>
          <w:b/>
          <w:bCs/>
          <w:color w:val="000000"/>
          <w:sz w:val="36"/>
          <w:szCs w:val="36"/>
        </w:rPr>
        <w:t>第二节  加强创新人才培养</w:t>
      </w:r>
      <w:bookmarkEnd w:id="37"/>
      <w:bookmarkEnd w:id="38"/>
    </w:p>
    <w:p>
      <w:pPr>
        <w:pStyle w:val="27"/>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依托企业培训中心、研究中心、职业院校和技工院校，加大对县内人才的培养，加强基础教育，培养创新意识，发</w:t>
      </w:r>
      <w:r>
        <w:rPr>
          <w:rFonts w:hint="eastAsia" w:ascii="仿宋_GB2312" w:hAnsi="仿宋_GB2312" w:eastAsia="仿宋_GB2312" w:cs="仿宋_GB2312"/>
          <w:color w:val="000000"/>
          <w:spacing w:val="-3"/>
          <w:sz w:val="32"/>
          <w:szCs w:val="32"/>
        </w:rPr>
        <w:t>展本地青年人才、紧缺人才、高技能人才及急需人才，加快集聚一批郏县“高精尖缺”人才，培育一批紧缺实用型高技能人才。重点培育一支以科技人员、海外留学归国者、民营企业家及新生代企业家、青年大学生为代表的创业创新队伍。</w:t>
      </w:r>
    </w:p>
    <w:p>
      <w:pPr>
        <w:pStyle w:val="42"/>
        <w:spacing w:beforeLines="50" w:afterLines="50"/>
        <w:rPr>
          <w:b w:val="0"/>
          <w:bCs/>
          <w:color w:val="000000"/>
          <w:szCs w:val="32"/>
        </w:rPr>
      </w:pPr>
      <w:bookmarkStart w:id="39" w:name="_Toc62991727"/>
      <w:bookmarkStart w:id="40" w:name="_Toc32611"/>
      <w:r>
        <w:rPr>
          <w:rFonts w:hint="eastAsia"/>
          <w:b w:val="0"/>
          <w:bCs/>
          <w:color w:val="000000"/>
          <w:szCs w:val="32"/>
        </w:rPr>
        <w:t>第三章  激发全社会创新创业创造活力</w:t>
      </w:r>
      <w:bookmarkEnd w:id="39"/>
      <w:bookmarkEnd w:id="40"/>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遵循创新发展规律、科技管理规律和人才成长规律，着力破除制约创新驱动发展的体制机制瓶颈，加快构建大中小企业和各类主体融通发展的创新创业生态。</w:t>
      </w:r>
    </w:p>
    <w:p>
      <w:pPr>
        <w:pStyle w:val="43"/>
        <w:spacing w:beforeLines="50" w:afterLines="50"/>
        <w:rPr>
          <w:b/>
          <w:bCs/>
          <w:color w:val="000000"/>
          <w:sz w:val="36"/>
          <w:szCs w:val="36"/>
        </w:rPr>
      </w:pPr>
      <w:bookmarkStart w:id="41" w:name="_Toc11501"/>
      <w:bookmarkStart w:id="42" w:name="_Toc62991728"/>
      <w:r>
        <w:rPr>
          <w:rFonts w:hint="eastAsia"/>
          <w:b/>
          <w:bCs/>
          <w:color w:val="000000"/>
          <w:sz w:val="36"/>
          <w:szCs w:val="36"/>
        </w:rPr>
        <w:t>第一节  深化科研体制机制改革</w:t>
      </w:r>
      <w:bookmarkEnd w:id="41"/>
      <w:bookmarkEnd w:id="42"/>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动重点领域创新平台、项目、人才、资金一体化配置，改进科技项目组织管理方式，实行重点项目攻关“揭榜挂帅”等制度，给予创新领军人才更大技术路线决定权。探索实行科技成果转化收益市场化分配政策，推动科研人员有能力、有动力、有权力转化职务科技成果。建立健全激励创新的容错机制，营造敢为人先、勇于探索的科研氛围。</w:t>
      </w:r>
    </w:p>
    <w:p>
      <w:pPr>
        <w:pStyle w:val="43"/>
        <w:spacing w:beforeLines="50" w:afterLines="50"/>
        <w:rPr>
          <w:b/>
          <w:bCs/>
          <w:color w:val="000000"/>
          <w:sz w:val="36"/>
          <w:szCs w:val="36"/>
        </w:rPr>
      </w:pPr>
      <w:bookmarkStart w:id="43" w:name="_Toc62991729"/>
      <w:bookmarkStart w:id="44" w:name="_Toc19642"/>
      <w:r>
        <w:rPr>
          <w:rFonts w:hint="eastAsia"/>
          <w:b/>
          <w:bCs/>
          <w:color w:val="000000"/>
          <w:sz w:val="36"/>
          <w:szCs w:val="36"/>
        </w:rPr>
        <w:t>第二节  健全科技金融支持体系</w:t>
      </w:r>
      <w:bookmarkEnd w:id="43"/>
      <w:bookmarkEnd w:id="44"/>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更大力度的企业研发投入财政奖补政策，完善落实高新技术企业所得税优惠、研发费用加计扣除等普惠性政策，以及研发后补助、研发准备金、研发风险分担等政策，提升企业研发活动覆盖面。积极支持企业承担重大科技任务，在政策引导、资源配置、激励保障、服务监管方面建立长效机制，不断提高研发经费投入。</w:t>
      </w:r>
    </w:p>
    <w:p>
      <w:pPr>
        <w:pStyle w:val="43"/>
        <w:spacing w:beforeLines="50" w:afterLines="50"/>
        <w:rPr>
          <w:color w:val="000000"/>
          <w:szCs w:val="32"/>
        </w:rPr>
      </w:pPr>
      <w:bookmarkStart w:id="45" w:name="_Toc62991730"/>
      <w:bookmarkStart w:id="46" w:name="_Toc1859"/>
      <w:r>
        <w:rPr>
          <w:rFonts w:hint="eastAsia"/>
          <w:b/>
          <w:bCs/>
          <w:color w:val="000000"/>
          <w:sz w:val="36"/>
          <w:szCs w:val="36"/>
        </w:rPr>
        <w:t>第三节  完善公共创新服务体系</w:t>
      </w:r>
      <w:bookmarkEnd w:id="45"/>
      <w:bookmarkEnd w:id="46"/>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着力构建科技、教育、产业、金融紧密融合的创新体系，推进技术链与产业链、资金链、人才链“四链融合”，提升创新基础能力。做好知识产权质押融资和专利保险工作。加强科学教育、培训和宣传，深入实施全民科学素质行动，动员多方力量参与科普工作，提升科普教育水平，不断提高全民科学素质。进一步整合科普资源，完善科普设施，充实科普队伍，筹备建设郏县科技馆，提高科普服务能力。</w:t>
      </w:r>
    </w:p>
    <w:p>
      <w:pPr>
        <w:pStyle w:val="41"/>
        <w:spacing w:beforeLines="100" w:afterLines="100" w:line="580" w:lineRule="exact"/>
        <w:ind w:left="420"/>
        <w:rPr>
          <w:rFonts w:hint="eastAsia" w:ascii="宋体" w:hAnsi="宋体" w:eastAsia="宋体" w:cs="宋体"/>
          <w:b w:val="0"/>
          <w:color w:val="000000"/>
          <w:sz w:val="32"/>
          <w:szCs w:val="32"/>
        </w:rPr>
      </w:pPr>
      <w:bookmarkStart w:id="47" w:name="_Toc62991731"/>
      <w:bookmarkStart w:id="48" w:name="_Toc4171"/>
      <w:bookmarkStart w:id="49" w:name="_Toc20616"/>
      <w:r>
        <w:rPr>
          <w:rFonts w:hint="eastAsia" w:ascii="宋体" w:hAnsi="宋体" w:eastAsia="宋体" w:cs="宋体"/>
          <w:b w:val="0"/>
          <w:color w:val="000000"/>
          <w:sz w:val="32"/>
          <w:szCs w:val="32"/>
        </w:rPr>
        <w:t>第三篇  构建现代产业体系，培育高质量发展新动能</w:t>
      </w:r>
      <w:bookmarkEnd w:id="47"/>
      <w:bookmarkEnd w:id="48"/>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bookmarkStart w:id="50" w:name="_Toc62807680"/>
      <w:bookmarkStart w:id="51" w:name="_Toc62991737"/>
      <w:r>
        <w:rPr>
          <w:rFonts w:hint="eastAsia" w:ascii="仿宋_GB2312" w:hAnsi="仿宋_GB2312" w:eastAsia="仿宋_GB2312" w:cs="仿宋_GB2312"/>
          <w:color w:val="000000"/>
          <w:sz w:val="32"/>
          <w:szCs w:val="32"/>
        </w:rPr>
        <w:t>坚持把制造业高质量发展作为主攻方向，统筹推动传统产业转型升级和新兴产业培育壮大，促进先进制造业、现代服务业双向深度融合和集群联动发展，构建适应新发展格局的现代产业体系。</w:t>
      </w:r>
    </w:p>
    <w:p>
      <w:pPr>
        <w:pStyle w:val="42"/>
        <w:spacing w:beforeLines="50" w:afterLines="50"/>
        <w:rPr>
          <w:color w:val="000000"/>
          <w:szCs w:val="32"/>
        </w:rPr>
      </w:pPr>
      <w:bookmarkStart w:id="52" w:name="_Toc30713"/>
      <w:r>
        <w:rPr>
          <w:rFonts w:hint="eastAsia"/>
          <w:b w:val="0"/>
          <w:bCs/>
          <w:color w:val="000000"/>
          <w:szCs w:val="32"/>
        </w:rPr>
        <w:t>第一章  积极</w:t>
      </w:r>
      <w:r>
        <w:rPr>
          <w:b w:val="0"/>
          <w:bCs/>
          <w:color w:val="000000"/>
          <w:szCs w:val="32"/>
        </w:rPr>
        <w:t>打造双百亿产业集群</w:t>
      </w:r>
      <w:bookmarkEnd w:id="52"/>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发挥产业基础优势，积极推动产业链、供应链、创新链、资金链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政策链深度融合，提升产品品质，扩大产业规模，打造以</w:t>
      </w:r>
      <w:r>
        <w:rPr>
          <w:rFonts w:hint="eastAsia" w:ascii="仿宋_GB2312" w:hAnsi="仿宋_GB2312" w:eastAsia="仿宋_GB2312" w:cs="仿宋_GB2312"/>
          <w:color w:val="000000"/>
          <w:spacing w:val="0"/>
          <w:kern w:val="0"/>
          <w:sz w:val="32"/>
          <w:szCs w:val="32"/>
          <w:lang w:val="en-US" w:eastAsia="zh-CN"/>
        </w:rPr>
        <w:t>装备制造、医用制品2个百亿级产业集群</w:t>
      </w:r>
      <w:r>
        <w:rPr>
          <w:rFonts w:hint="eastAsia" w:ascii="仿宋_GB2312" w:hAnsi="仿宋_GB2312" w:eastAsia="仿宋_GB2312" w:cs="仿宋_GB2312"/>
          <w:color w:val="000000"/>
          <w:sz w:val="32"/>
          <w:szCs w:val="32"/>
        </w:rPr>
        <w:t>。</w:t>
      </w:r>
    </w:p>
    <w:p>
      <w:pPr>
        <w:keepNext/>
        <w:keepLines/>
        <w:spacing w:beforeLines="50" w:afterLines="50" w:line="580" w:lineRule="exact"/>
        <w:jc w:val="center"/>
        <w:outlineLvl w:val="2"/>
        <w:rPr>
          <w:rFonts w:ascii="楷体_GB2312" w:hAnsi="黑体" w:eastAsia="楷体_GB2312"/>
          <w:b/>
          <w:bCs/>
          <w:color w:val="000000"/>
          <w:sz w:val="36"/>
          <w:szCs w:val="36"/>
        </w:rPr>
      </w:pPr>
      <w:bookmarkStart w:id="53" w:name="_Toc63331145"/>
      <w:bookmarkStart w:id="54" w:name="_Toc29327"/>
      <w:r>
        <w:rPr>
          <w:rFonts w:hint="eastAsia" w:ascii="楷体_GB2312" w:hAnsi="黑体" w:eastAsia="楷体_GB2312"/>
          <w:b/>
          <w:bCs/>
          <w:color w:val="000000"/>
          <w:sz w:val="36"/>
          <w:szCs w:val="36"/>
        </w:rPr>
        <w:t>第一节  培育壮大</w:t>
      </w:r>
      <w:r>
        <w:rPr>
          <w:rFonts w:hint="eastAsia" w:ascii="楷体_GB2312" w:hAnsi="黑体" w:eastAsia="楷体_GB2312"/>
          <w:b/>
          <w:bCs/>
          <w:color w:val="000000"/>
          <w:sz w:val="36"/>
          <w:szCs w:val="36"/>
          <w:lang w:val="en-US" w:eastAsia="zh-CN"/>
        </w:rPr>
        <w:t>装备制造</w:t>
      </w:r>
      <w:r>
        <w:rPr>
          <w:rFonts w:hint="eastAsia" w:ascii="楷体_GB2312" w:hAnsi="黑体" w:eastAsia="楷体_GB2312"/>
          <w:b/>
          <w:bCs/>
          <w:color w:val="000000"/>
          <w:sz w:val="36"/>
          <w:szCs w:val="36"/>
        </w:rPr>
        <w:t>产业集群</w:t>
      </w:r>
      <w:bookmarkEnd w:id="53"/>
      <w:bookmarkEnd w:id="54"/>
    </w:p>
    <w:p>
      <w:pPr>
        <w:pStyle w:val="4"/>
        <w:widowControl/>
        <w:shd w:val="clear" w:color="050000" w:fill="FFFFFF"/>
        <w:spacing w:before="0" w:beforeAutospacing="0" w:after="150" w:afterAutospacing="0" w:line="450" w:lineRule="atLeast"/>
        <w:ind w:left="0" w:right="0" w:firstLine="643" w:firstLineChars="200"/>
        <w:rPr>
          <w:rFonts w:hint="eastAsia" w:ascii="仿宋_GB2312" w:hAnsi="仿宋_GB2312" w:eastAsia="仿宋_GB2312" w:cs="仿宋_GB2312"/>
          <w:b w:val="0"/>
          <w:color w:val="000000"/>
          <w:spacing w:val="0"/>
          <w:kern w:val="0"/>
          <w:sz w:val="32"/>
          <w:szCs w:val="32"/>
          <w:lang w:val="en-US" w:eastAsia="zh-CN" w:bidi="ar-SA"/>
        </w:rPr>
      </w:pPr>
      <w:bookmarkStart w:id="55" w:name="_Toc31"/>
      <w:r>
        <w:rPr>
          <w:rFonts w:hint="eastAsia" w:ascii="仿宋_GB2312" w:hAnsi="仿宋_GB2312" w:eastAsia="仿宋_GB2312" w:cs="仿宋_GB2312"/>
          <w:b/>
          <w:bCs/>
          <w:color w:val="000000"/>
          <w:spacing w:val="0"/>
          <w:kern w:val="0"/>
          <w:sz w:val="32"/>
          <w:szCs w:val="32"/>
          <w:shd w:val="clear" w:color="auto" w:fill="auto"/>
          <w:lang w:val="en-US" w:eastAsia="zh-CN" w:bidi="ar-SA"/>
        </w:rPr>
        <w:t>提升产业链水平。</w:t>
      </w:r>
      <w:r>
        <w:rPr>
          <w:rFonts w:hint="eastAsia" w:ascii="仿宋_GB2312" w:hAnsi="仿宋_GB2312" w:eastAsia="仿宋_GB2312" w:cs="仿宋_GB2312"/>
          <w:b w:val="0"/>
          <w:color w:val="000000"/>
          <w:spacing w:val="0"/>
          <w:kern w:val="0"/>
          <w:sz w:val="32"/>
          <w:szCs w:val="32"/>
          <w:lang w:val="en-US" w:eastAsia="zh-CN" w:bidi="ar-SA"/>
        </w:rPr>
        <w:t>依托高低压电气专业园区建设，鼓励天晟电气、地特力电气、恒锐电气等企业补链延链，加快引进国内知名电气企业，突破产业链、创新链、价值链之间的环环相扣式低端锁定，补齐郏县高低压电气产业链，推动产业链与创新链、资金链、政策链有机融合，全力打造协同、高效、集约的百亿级产业集群。紧抓国家重启特高压项目机遇，积极融入平高电气产业链，发展特高压配套产品。</w:t>
      </w:r>
      <w:bookmarkEnd w:id="55"/>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pacing w:val="0"/>
          <w:kern w:val="0"/>
          <w:sz w:val="32"/>
          <w:szCs w:val="32"/>
          <w:shd w:val="clear" w:color="auto" w:fill="auto"/>
          <w:lang w:val="en-US" w:eastAsia="zh-CN"/>
        </w:rPr>
        <w:t>加快推动产业优化升级。</w:t>
      </w:r>
      <w:r>
        <w:rPr>
          <w:rFonts w:hint="eastAsia" w:ascii="仿宋_GB2312" w:hAnsi="仿宋_GB2312" w:eastAsia="仿宋_GB2312" w:cs="仿宋_GB2312"/>
          <w:color w:val="000000"/>
          <w:sz w:val="32"/>
          <w:szCs w:val="32"/>
        </w:rPr>
        <w:t>以平煤机产业园为龙头，积极对接国家重要支护装备生产企业，重点发展重型、可回填、再制造液压支架以及煤矿智能化综采装备、矿山装备、机械零部件等，大力发展具备远程状态监测与故障诊断功能的新型智能化煤矿装备，推动煤矿装备再制造技术的产业化应用。持续向轨道交通、钢箱桥梁、军民融合装备、农机设备等方向发力，积极发展汽车、高铁、隧道、电梯等国内龙头企业配套产品，扩大市场份额。加快钢构、铸造、磨料磨具和电线电缆等传统基础零部件向高端化、智能化、绿色化转型，大力支持发展优质高端精密铸件、锻件、大型特种钢构零部件制造。加强人机智能交互、工业机器人、智能物流管理等技术和装备在生产过程中的应用，推进企业智能化技术改造。</w:t>
      </w:r>
    </w:p>
    <w:p>
      <w:pPr>
        <w:pStyle w:val="43"/>
        <w:spacing w:beforeLines="50" w:afterLines="50"/>
        <w:rPr>
          <w:b/>
          <w:bCs/>
          <w:color w:val="000000"/>
          <w:sz w:val="36"/>
          <w:szCs w:val="36"/>
        </w:rPr>
      </w:pPr>
      <w:bookmarkStart w:id="56" w:name="_Toc26853"/>
      <w:r>
        <w:rPr>
          <w:rFonts w:hint="eastAsia"/>
          <w:b/>
          <w:bCs/>
          <w:color w:val="000000"/>
          <w:sz w:val="36"/>
          <w:szCs w:val="36"/>
        </w:rPr>
        <w:t>第二节  持续发展以</w:t>
      </w:r>
      <w:r>
        <w:rPr>
          <w:rFonts w:hint="eastAsia"/>
          <w:b/>
          <w:bCs/>
          <w:color w:val="000000"/>
          <w:sz w:val="36"/>
          <w:szCs w:val="36"/>
          <w:lang w:val="en-US" w:eastAsia="zh-CN"/>
        </w:rPr>
        <w:t>医用制品</w:t>
      </w:r>
      <w:r>
        <w:rPr>
          <w:rFonts w:hint="eastAsia"/>
          <w:b/>
          <w:bCs/>
          <w:color w:val="000000"/>
          <w:sz w:val="36"/>
          <w:szCs w:val="36"/>
        </w:rPr>
        <w:t>为</w:t>
      </w:r>
      <w:r>
        <w:rPr>
          <w:rFonts w:hint="eastAsia"/>
          <w:b/>
          <w:bCs/>
          <w:color w:val="000000"/>
          <w:sz w:val="36"/>
          <w:szCs w:val="36"/>
          <w:lang w:val="en-US" w:eastAsia="zh-CN"/>
        </w:rPr>
        <w:t>主导</w:t>
      </w:r>
      <w:r>
        <w:rPr>
          <w:rFonts w:hint="eastAsia"/>
          <w:b/>
          <w:bCs/>
          <w:color w:val="000000"/>
          <w:sz w:val="36"/>
          <w:szCs w:val="36"/>
        </w:rPr>
        <w:t>的产业集群</w:t>
      </w:r>
      <w:bookmarkEnd w:id="56"/>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圣光集团做好破产重整后续工作。以圣光集团为龙头，重点发展安全健康防护产业，推动“输注、防护类”产品生产线扩规模、提产能；鼓励广德润、立科达医疗设备、永伟医药科技等关联企业扩大规模，丰富产品种类，加强协调联动，打造中部地区知名的医用耗材产销基地。支持圣光集团利用医用敷料领域的专业技术和行业经验，实现从医用产品向民用产品的转变，拓展个人护理、家庭护理、母婴护理等领域。拓展医疗器械业务，依托医疗健康床、电动轮椅等产品基础，发展生活照料、健康管理、医疗康复类医疗器械，积极推动医养结合。</w:t>
      </w:r>
      <w:r>
        <w:rPr>
          <w:rFonts w:hint="eastAsia" w:ascii="仿宋_GB2312" w:hAnsi="仿宋_GB2312" w:eastAsia="仿宋_GB2312" w:cs="仿宋_GB2312"/>
          <w:color w:val="000000"/>
          <w:spacing w:val="0"/>
          <w:kern w:val="0"/>
          <w:sz w:val="32"/>
          <w:szCs w:val="32"/>
          <w:lang w:val="en-US" w:eastAsia="zh-CN"/>
        </w:rPr>
        <w:t>力争“十四五”末，打造百亿级产业集群。</w:t>
      </w:r>
    </w:p>
    <w:p>
      <w:pPr>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p>
    <w:tbl>
      <w:tblPr>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6"/>
      </w:tblGrid>
      <w:tr>
        <w:trPr>
          <w:trHeight w:val="473" w:hRule="atLeast"/>
          <w:jc w:val="center"/>
        </w:trPr>
        <w:tc>
          <w:tcPr>
            <w:tcW w:w="8426" w:type="dxa"/>
            <w:tcBorders>
              <w:top w:val="single" w:color="auto" w:sz="4" w:space="0"/>
              <w:left w:val="single" w:color="auto" w:sz="4" w:space="0"/>
              <w:bottom w:val="single" w:color="auto" w:sz="4" w:space="0"/>
              <w:right w:val="single" w:color="auto" w:sz="4" w:space="0"/>
            </w:tcBorders>
            <w:vAlign w:val="top"/>
          </w:tcPr>
          <w:p>
            <w:pPr>
              <w:pStyle w:val="3"/>
              <w:spacing w:line="40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专栏1：百亿级产业集群重点项目</w:t>
            </w:r>
          </w:p>
        </w:tc>
      </w:tr>
      <w:tr>
        <w:trPr>
          <w:jc w:val="center"/>
        </w:trPr>
        <w:tc>
          <w:tcPr>
            <w:tcW w:w="8426" w:type="dxa"/>
            <w:tcBorders>
              <w:top w:val="single" w:color="auto" w:sz="4" w:space="0"/>
              <w:left w:val="single" w:color="auto" w:sz="4" w:space="0"/>
              <w:bottom w:val="single" w:color="auto" w:sz="4" w:space="0"/>
              <w:right w:val="single" w:color="auto" w:sz="4" w:space="0"/>
            </w:tcBorders>
            <w:vAlign w:val="top"/>
          </w:tcPr>
          <w:p>
            <w:pPr>
              <w:widowControl/>
              <w:spacing w:line="400" w:lineRule="exact"/>
              <w:ind w:firstLine="482" w:firstLineChars="200"/>
              <w:rPr>
                <w:rFonts w:ascii="仿宋_GB2312" w:hAnsi="楷体" w:eastAsia="仿宋_GB2312" w:cs="仿宋"/>
                <w:color w:val="000000"/>
                <w:kern w:val="0"/>
                <w:sz w:val="24"/>
              </w:rPr>
            </w:pPr>
            <w:r>
              <w:rPr>
                <w:rFonts w:hint="eastAsia" w:ascii="仿宋_GB2312" w:hAnsi="楷体" w:eastAsia="仿宋_GB2312" w:cs="仿宋"/>
                <w:b/>
                <w:color w:val="000000"/>
                <w:kern w:val="0"/>
                <w:sz w:val="24"/>
              </w:rPr>
              <w:t>装备制造产业</w:t>
            </w:r>
            <w:r>
              <w:rPr>
                <w:rFonts w:hint="eastAsia" w:ascii="仿宋_GB2312" w:hAnsi="楷体" w:eastAsia="仿宋_GB2312" w:cs="仿宋"/>
                <w:color w:val="000000"/>
                <w:kern w:val="0"/>
                <w:sz w:val="24"/>
              </w:rPr>
              <w:t>。高低压电气方面，重点实施中晟电气年产15000台高低压控制开关柜生产项目、浩鑫变压器生产制造项目、林豪电气有限公司智能电流继电器项目、润达电力设备厂智能变压器柜项目、保定雄佳电器制造有限公司智能变压器项目、深圳市永成实业发展有限公司新型电气设备项目。机械装备方面，重点实施薛店镇农用机器人机器设备生产项目、平煤机煤矿机械装备有限公司智能化建设项目、白庙乡无害化处理餐厨垃圾设备制造项目。零部件方面，重点实施平顶山市恒信机械设备制造有限公司机械零部件生产项目、年产10万台套电梯零部件加工项目、河南中欧路桥隧道工程智能设备生产项目、白庙乡特种装备加工项目等。</w:t>
            </w:r>
          </w:p>
          <w:p>
            <w:pPr>
              <w:widowControl/>
              <w:spacing w:line="400" w:lineRule="exact"/>
              <w:ind w:firstLine="482" w:firstLineChars="200"/>
              <w:rPr>
                <w:rFonts w:ascii="仿宋_GB2312" w:hAnsi="楷体" w:eastAsia="仿宋_GB2312" w:cs="仿宋"/>
                <w:color w:val="000000"/>
                <w:kern w:val="0"/>
                <w:sz w:val="24"/>
              </w:rPr>
            </w:pPr>
            <w:r>
              <w:rPr>
                <w:rFonts w:hint="eastAsia" w:ascii="仿宋_GB2312" w:hAnsi="楷体" w:eastAsia="仿宋_GB2312" w:cs="仿宋"/>
                <w:b/>
                <w:color w:val="000000"/>
                <w:kern w:val="0"/>
                <w:sz w:val="24"/>
              </w:rPr>
              <w:t>医用制品</w:t>
            </w:r>
            <w:r>
              <w:rPr>
                <w:rFonts w:hint="eastAsia" w:ascii="仿宋_GB2312" w:hAnsi="楷体" w:eastAsia="仿宋_GB2312" w:cs="仿宋"/>
                <w:color w:val="000000"/>
                <w:kern w:val="0"/>
                <w:sz w:val="24"/>
              </w:rPr>
              <w:t>。重点实施圣光集团应急物资储备库项目、河南立科达医疗用品科技有限公司年产50000套医用耗材二期工程、智能化医用包装材料生产线项目、薛店镇民用口罩防护品生产线项目等。</w:t>
            </w:r>
          </w:p>
          <w:p>
            <w:pPr>
              <w:widowControl/>
              <w:wordWrap/>
              <w:adjustRightInd/>
              <w:snapToGrid/>
              <w:spacing w:line="400" w:lineRule="exact"/>
              <w:ind w:firstLine="480" w:firstLineChars="200"/>
              <w:textAlignment w:val="auto"/>
              <w:rPr>
                <w:rFonts w:hint="eastAsia" w:ascii="仿宋_GB2312" w:hAnsi="仿宋_GB2312" w:eastAsia="仿宋_GB2312" w:cs="仿宋_GB2312"/>
                <w:color w:val="000000"/>
                <w:kern w:val="0"/>
                <w:sz w:val="24"/>
              </w:rPr>
            </w:pPr>
          </w:p>
        </w:tc>
      </w:tr>
    </w:tbl>
    <w:p>
      <w:pPr>
        <w:pStyle w:val="42"/>
        <w:spacing w:beforeLines="50" w:afterLines="50"/>
        <w:rPr>
          <w:b w:val="0"/>
          <w:bCs/>
          <w:color w:val="000000"/>
          <w:szCs w:val="32"/>
        </w:rPr>
      </w:pPr>
      <w:bookmarkStart w:id="57" w:name="_Toc7651"/>
      <w:r>
        <w:rPr>
          <w:rFonts w:hint="eastAsia"/>
          <w:b w:val="0"/>
          <w:bCs/>
          <w:color w:val="000000"/>
          <w:szCs w:val="32"/>
        </w:rPr>
        <w:t>第二章  构建现代工业体系</w:t>
      </w:r>
      <w:bookmarkEnd w:id="50"/>
      <w:bookmarkEnd w:id="57"/>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bookmarkStart w:id="58" w:name="_Toc62807682"/>
      <w:r>
        <w:rPr>
          <w:rFonts w:ascii="仿宋_GB2312" w:hAnsi="仿宋_GB2312" w:eastAsia="仿宋_GB2312" w:cs="仿宋_GB2312"/>
          <w:color w:val="000000"/>
          <w:sz w:val="32"/>
          <w:szCs w:val="32"/>
        </w:rPr>
        <w:t>强化创新驱动</w:t>
      </w:r>
      <w:r>
        <w:rPr>
          <w:rFonts w:hint="eastAsia" w:ascii="仿宋_GB2312" w:hAnsi="仿宋_GB2312" w:eastAsia="仿宋_GB2312" w:cs="仿宋_GB2312"/>
          <w:color w:val="000000"/>
          <w:sz w:val="32"/>
          <w:szCs w:val="32"/>
        </w:rPr>
        <w:t>引领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优化产业链供应链要素支撑，建设“有郏县地域标签、有郏县本土创新、有郏县品牌支撑”的产品体系，着力推动产业体系高端化、产业基础特色化、产业链现代化，实现产业向价值链高端攀升。</w:t>
      </w:r>
    </w:p>
    <w:p>
      <w:pPr>
        <w:pStyle w:val="43"/>
        <w:spacing w:beforeLines="50" w:afterLines="50" w:line="600" w:lineRule="exact"/>
        <w:rPr>
          <w:b/>
          <w:bCs/>
          <w:color w:val="000000"/>
          <w:szCs w:val="32"/>
        </w:rPr>
      </w:pPr>
      <w:bookmarkStart w:id="59" w:name="_Toc1512"/>
      <w:r>
        <w:rPr>
          <w:rFonts w:hint="eastAsia"/>
          <w:b/>
          <w:bCs/>
          <w:color w:val="000000"/>
          <w:szCs w:val="32"/>
        </w:rPr>
        <w:t>第一节  强力实施优势传统产业转型升级</w:t>
      </w:r>
      <w:bookmarkEnd w:id="58"/>
      <w:bookmarkEnd w:id="59"/>
    </w:p>
    <w:p>
      <w:pPr>
        <w:autoSpaceDE w:val="0"/>
        <w:autoSpaceDN w:val="0"/>
        <w:adjustRightInd w:val="0"/>
        <w:snapToGrid w:val="0"/>
        <w:spacing w:line="60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做大做强传统食品加工产业。</w:t>
      </w:r>
      <w:r>
        <w:rPr>
          <w:rFonts w:hint="eastAsia" w:ascii="仿宋_GB2312" w:hAnsi="仿宋_GB2312" w:eastAsia="仿宋_GB2312" w:cs="仿宋_GB2312"/>
          <w:color w:val="000000"/>
          <w:sz w:val="32"/>
          <w:szCs w:val="32"/>
        </w:rPr>
        <w:t>依托中原红饮料、远航实业、河南鑫龙等企业，在巩固郏县特色食品加工基础上，鼓励发展冻干蔬菜、冻干水果片、冻干牛肉等冻干脱水食品，拓展饸饹面、豆腐菜等方便速食食品市场，加强与金丝猴、三只松鼠、恰恰等品牌合作，积极融入三全、白象、思念、花花牛等大型食品加工企业的产业链条。依托绿禾、毛郎泉等企业，重点发展以富硒农产品、</w:t>
      </w:r>
      <w:r>
        <w:rPr>
          <w:rFonts w:ascii="仿宋_GB2312" w:hAnsi="仿宋_GB2312" w:eastAsia="仿宋_GB2312" w:cs="仿宋_GB2312"/>
          <w:color w:val="000000"/>
          <w:sz w:val="32"/>
          <w:szCs w:val="32"/>
        </w:rPr>
        <w:t>富锶茶水为</w:t>
      </w:r>
      <w:r>
        <w:rPr>
          <w:rFonts w:hint="eastAsia" w:ascii="仿宋_GB2312" w:hAnsi="仿宋_GB2312" w:eastAsia="仿宋_GB2312" w:cs="仿宋_GB2312"/>
          <w:color w:val="000000"/>
          <w:sz w:val="32"/>
          <w:szCs w:val="32"/>
        </w:rPr>
        <w:t>代表的健康食品加工业。鼓励开发水溶性硒蛋白、硒多肽、硒多糖等富硒原料，打造富硒面食、五谷粉、植物原饮等系列营养保健食品，与富硒原料供应知名品牌合作，</w:t>
      </w:r>
      <w:r>
        <w:rPr>
          <w:rFonts w:ascii="仿宋_GB2312" w:hAnsi="仿宋_GB2312" w:eastAsia="仿宋_GB2312" w:cs="仿宋_GB2312"/>
          <w:color w:val="000000"/>
          <w:sz w:val="32"/>
          <w:szCs w:val="32"/>
        </w:rPr>
        <w:t>积极扩大</w:t>
      </w:r>
      <w:r>
        <w:rPr>
          <w:rFonts w:hint="eastAsia" w:ascii="仿宋_GB2312" w:hAnsi="仿宋_GB2312" w:eastAsia="仿宋_GB2312" w:cs="仿宋_GB2312"/>
          <w:color w:val="000000"/>
          <w:sz w:val="32"/>
          <w:szCs w:val="32"/>
        </w:rPr>
        <w:t>产业规模和</w:t>
      </w:r>
      <w:r>
        <w:rPr>
          <w:rFonts w:ascii="仿宋_GB2312" w:hAnsi="仿宋_GB2312" w:eastAsia="仿宋_GB2312" w:cs="仿宋_GB2312"/>
          <w:color w:val="000000"/>
          <w:sz w:val="32"/>
          <w:szCs w:val="32"/>
        </w:rPr>
        <w:t>产品市场份额，提升品牌影响力，形成配套</w:t>
      </w:r>
      <w:r>
        <w:rPr>
          <w:rFonts w:hint="eastAsia" w:ascii="仿宋_GB2312" w:hAnsi="仿宋_GB2312" w:eastAsia="仿宋_GB2312" w:cs="仿宋_GB2312"/>
          <w:color w:val="000000"/>
          <w:sz w:val="32"/>
          <w:szCs w:val="32"/>
        </w:rPr>
        <w:t>齐全</w:t>
      </w:r>
      <w:r>
        <w:rPr>
          <w:rFonts w:ascii="仿宋_GB2312" w:hAnsi="仿宋_GB2312" w:eastAsia="仿宋_GB2312" w:cs="仿宋_GB2312"/>
          <w:color w:val="000000"/>
          <w:sz w:val="32"/>
          <w:szCs w:val="32"/>
        </w:rPr>
        <w:t>的富硒食品产业链。</w:t>
      </w:r>
    </w:p>
    <w:p>
      <w:pPr>
        <w:autoSpaceDE w:val="0"/>
        <w:autoSpaceDN w:val="0"/>
        <w:adjustRightInd w:val="0"/>
        <w:snapToGrid w:val="0"/>
        <w:spacing w:line="60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改造提升陶瓷产业。</w:t>
      </w:r>
      <w:r>
        <w:rPr>
          <w:rFonts w:hint="eastAsia" w:ascii="仿宋_GB2312" w:hAnsi="仿宋_GB2312" w:eastAsia="仿宋_GB2312" w:cs="仿宋_GB2312"/>
          <w:color w:val="000000"/>
          <w:sz w:val="32"/>
          <w:szCs w:val="32"/>
        </w:rPr>
        <w:t>依托安良神前陶瓷产业园，推动陶瓷产业向绿色制造、清洁生产、自动化生产方向升级改造，做好窑炉改造、产品研发、自动化包装生产线改造等，淘汰关闭效益低、能耗高的陶瓷企业，打造豫西南重要的陶瓷产销基地。丰富陶瓷品种，提升陶瓷产品附加值，积极融入电子陶瓷、纳米陶瓷等高科技陶瓷产业链，增加高技术多功能陶瓷产品，如耐热陶瓷、抗菌陶瓷等。建立日用陶瓷、艺术陶瓷交易市场，打造国内外知名的陶瓷文化品牌。</w:t>
      </w:r>
    </w:p>
    <w:p>
      <w:pPr>
        <w:pStyle w:val="2"/>
        <w:ind w:left="0" w:leftChars="0" w:firstLine="643" w:firstLineChars="200"/>
        <w:rPr>
          <w:color w:val="000000"/>
        </w:rPr>
      </w:pPr>
      <w:r>
        <w:rPr>
          <w:rFonts w:hint="eastAsia" w:ascii="仿宋_GB2312" w:hAnsi="仿宋_GB2312" w:eastAsia="仿宋_GB2312" w:cs="仿宋_GB2312"/>
          <w:b/>
          <w:bCs/>
          <w:color w:val="000000"/>
          <w:spacing w:val="0"/>
          <w:kern w:val="0"/>
          <w:sz w:val="32"/>
          <w:szCs w:val="32"/>
          <w:lang w:val="en-US" w:eastAsia="zh-CN"/>
        </w:rPr>
        <w:t>全链发展铸铁锅产业。</w:t>
      </w:r>
      <w:r>
        <w:rPr>
          <w:rFonts w:hint="eastAsia" w:ascii="仿宋_GB2312" w:hAnsi="仿宋_GB2312" w:eastAsia="仿宋_GB2312" w:cs="仿宋_GB2312"/>
          <w:color w:val="000000"/>
          <w:kern w:val="0"/>
          <w:sz w:val="32"/>
          <w:szCs w:val="32"/>
        </w:rPr>
        <w:t>依托铁锅行业协会、渤海铁锅交易中心平台、广阔商贸公司，扶持培育铁锅龙头企业做大做强。</w:t>
      </w:r>
      <w:r>
        <w:rPr>
          <w:rFonts w:hint="eastAsia" w:ascii="仿宋_GB2312" w:hAnsi="仿宋_GB2312" w:eastAsia="仿宋_GB2312" w:cs="仿宋_GB2312"/>
          <w:color w:val="000000"/>
          <w:sz w:val="32"/>
          <w:szCs w:val="32"/>
        </w:rPr>
        <w:t>发挥铁锅行业协会作用，</w:t>
      </w:r>
      <w:r>
        <w:rPr>
          <w:rFonts w:hint="eastAsia" w:ascii="仿宋_GB2312" w:hAnsi="仿宋_GB2312" w:eastAsia="仿宋_GB2312" w:cs="仿宋_GB2312"/>
          <w:color w:val="000000"/>
          <w:kern w:val="0"/>
          <w:sz w:val="32"/>
          <w:szCs w:val="32"/>
        </w:rPr>
        <w:t>组建郏县铁锅集团，</w:t>
      </w:r>
      <w:r>
        <w:rPr>
          <w:rFonts w:hint="eastAsia" w:ascii="仿宋_GB2312" w:hAnsi="仿宋_GB2312" w:eastAsia="仿宋_GB2312" w:cs="仿宋_GB2312"/>
          <w:color w:val="000000"/>
          <w:sz w:val="32"/>
          <w:szCs w:val="32"/>
        </w:rPr>
        <w:t>规范行业发展秩序，减少无序竞争，引导鼓励企业参与制订行业标准，以标准化生产经营方式融合产业发展。加大研发投入和人才培养，聚焦产品创新、工艺创新、品牌创建，</w:t>
      </w:r>
      <w:r>
        <w:rPr>
          <w:rFonts w:hint="eastAsia" w:ascii="仿宋_GB2312" w:hAnsi="仿宋_GB2312" w:eastAsia="仿宋_GB2312" w:cs="仿宋_GB2312"/>
          <w:color w:val="000000"/>
          <w:kern w:val="0"/>
          <w:sz w:val="32"/>
          <w:szCs w:val="32"/>
        </w:rPr>
        <w:t>推动铁锅产业</w:t>
      </w:r>
      <w:r>
        <w:rPr>
          <w:rFonts w:hint="eastAsia" w:ascii="仿宋_GB2312" w:hAnsi="仿宋_GB2312" w:eastAsia="仿宋_GB2312" w:cs="仿宋_GB2312"/>
          <w:color w:val="000000"/>
          <w:sz w:val="32"/>
          <w:szCs w:val="32"/>
        </w:rPr>
        <w:t>淘汰落后产能，构建绿色生产体系，形成链条式发展、绿色化发展的新路径。树立品牌观念，集中力量打造“郏县铸铁锅”集群品牌，积极引导企业争创国家、省著名商标，提升产品品质与知名度。依托渤海铁锅交易中心，探索建立郏县铁锅交易价格指数，抢占铁锅、炊具定价话语权，提升郏县铁锅市场占有率和品牌影响力。围绕铸铁锅产业打造炊具全品类产业链，向陶瓷餐具、不锈钢锅、餐厨具、刀具、餐用器皿等炊具全品类方向延伸。</w:t>
      </w:r>
    </w:p>
    <w:p>
      <w:pPr>
        <w:autoSpaceDE w:val="0"/>
        <w:autoSpaceDN w:val="0"/>
        <w:adjustRightInd w:val="0"/>
        <w:snapToGrid w:val="0"/>
        <w:spacing w:line="580" w:lineRule="exact"/>
        <w:ind w:firstLine="643" w:firstLineChars="200"/>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b/>
          <w:bCs/>
          <w:color w:val="000000"/>
          <w:spacing w:val="0"/>
          <w:kern w:val="0"/>
          <w:sz w:val="32"/>
          <w:szCs w:val="32"/>
          <w:lang w:val="en-US" w:eastAsia="zh-CN"/>
        </w:rPr>
        <w:t>大力发展红牛产业。</w:t>
      </w:r>
      <w:r>
        <w:rPr>
          <w:rFonts w:hint="eastAsia" w:ascii="仿宋_GB2312" w:hAnsi="仿宋_GB2312" w:eastAsia="仿宋_GB2312" w:cs="仿宋_GB2312"/>
          <w:color w:val="000000"/>
          <w:kern w:val="2"/>
          <w:sz w:val="32"/>
          <w:szCs w:val="32"/>
          <w:lang w:val="en-US" w:eastAsia="zh-CN" w:bidi="ar-SA"/>
        </w:rPr>
        <w:t>实施三年倍增行动，扎实推进“郏县红牛”扩群增量。立足“郏</w:t>
      </w:r>
      <w:r>
        <w:rPr>
          <w:rFonts w:hint="eastAsia" w:ascii="仿宋_GB2312" w:hAnsi="仿宋_GB2312" w:eastAsia="仿宋_GB2312" w:cs="仿宋_GB2312"/>
          <w:color w:val="000000"/>
          <w:sz w:val="32"/>
          <w:szCs w:val="32"/>
        </w:rPr>
        <w:t>县红牛”种质资源优势，制定保种育种方案，高标准建设种质资源库和新保种场，完成种公牛站生产许可，绘制</w:t>
      </w:r>
      <w:r>
        <w:rPr>
          <w:rFonts w:hint="eastAsia" w:ascii="仿宋_GB2312" w:hAnsi="仿宋_GB2312" w:eastAsia="仿宋_GB2312" w:cs="仿宋_GB2312"/>
          <w:color w:val="000000"/>
          <w:sz w:val="32"/>
          <w:szCs w:val="32"/>
          <w:lang w:val="en-US" w:eastAsia="zh-CN"/>
        </w:rPr>
        <w:t>郏县</w:t>
      </w:r>
      <w:r>
        <w:rPr>
          <w:rFonts w:hint="eastAsia" w:ascii="仿宋_GB2312" w:hAnsi="仿宋_GB2312" w:eastAsia="仿宋_GB2312" w:cs="仿宋_GB2312"/>
          <w:color w:val="000000"/>
          <w:sz w:val="32"/>
          <w:szCs w:val="32"/>
        </w:rPr>
        <w:t>红牛家族谱系，对接省内科研院所在郏县成立郏县红牛研究院、河南省肉牛产业体系郏县红牛综合实验站、博士后流动站等，加强科技服务，</w:t>
      </w:r>
      <w:r>
        <w:rPr>
          <w:rFonts w:hint="eastAsia" w:ascii="仿宋_GB2312" w:hAnsi="仿宋_GB2312" w:eastAsia="仿宋_GB2312" w:cs="仿宋_GB2312"/>
          <w:color w:val="000000"/>
          <w:spacing w:val="0"/>
          <w:kern w:val="0"/>
          <w:sz w:val="32"/>
          <w:szCs w:val="32"/>
          <w:lang w:val="en-US" w:eastAsia="zh-CN"/>
        </w:rPr>
        <w:t>坚持“全链、专营、高端、品牌”发展之路，全面做好郏县红牛国家级优势特色产业集群和省级现代农业产业园建设，力争“十四五”末，郏县红牛饲养量达到10万头以上，创成国家级现代农业产业园。</w:t>
      </w:r>
    </w:p>
    <w:p>
      <w:pPr>
        <w:pStyle w:val="2"/>
        <w:rPr>
          <w:rFonts w:hint="eastAsia" w:ascii="仿宋_GB2312" w:hAnsi="仿宋_GB2312" w:eastAsia="仿宋_GB2312" w:cs="仿宋_GB2312"/>
          <w:color w:val="000000"/>
          <w:spacing w:val="0"/>
          <w:kern w:val="0"/>
          <w:sz w:val="32"/>
          <w:szCs w:val="32"/>
          <w:lang w:val="en-US" w:eastAsia="zh-CN"/>
        </w:rPr>
      </w:pPr>
    </w:p>
    <w:p>
      <w:pPr>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rPr>
          <w:rFonts w:hint="eastAsia" w:ascii="仿宋_GB2312" w:hAnsi="仿宋_GB2312" w:eastAsia="仿宋_GB2312" w:cs="仿宋_GB2312"/>
          <w:color w:val="000000"/>
          <w:spacing w:val="0"/>
          <w:kern w:val="0"/>
          <w:sz w:val="32"/>
          <w:szCs w:val="32"/>
          <w:lang w:val="en-US" w:eastAsia="zh-CN"/>
        </w:rPr>
      </w:pPr>
    </w:p>
    <w:p>
      <w:pPr>
        <w:pStyle w:val="2"/>
        <w:rPr>
          <w:rFonts w:hint="eastAsia" w:ascii="仿宋_GB2312" w:hAnsi="仿宋_GB2312" w:eastAsia="仿宋_GB2312" w:cs="仿宋_GB2312"/>
          <w:color w:val="000000"/>
          <w:spacing w:val="0"/>
          <w:kern w:val="0"/>
          <w:sz w:val="32"/>
          <w:szCs w:val="32"/>
          <w:lang w:val="en-US" w:eastAsia="zh-CN"/>
        </w:rPr>
      </w:pPr>
    </w:p>
    <w:p>
      <w:pPr>
        <w:rPr>
          <w:rFonts w:hint="eastAsia" w:ascii="仿宋_GB2312" w:hAnsi="仿宋_GB2312" w:eastAsia="仿宋_GB2312" w:cs="仿宋_GB2312"/>
          <w:color w:val="000000"/>
          <w:spacing w:val="0"/>
          <w:kern w:val="0"/>
          <w:sz w:val="32"/>
          <w:szCs w:val="32"/>
          <w:lang w:val="en-US" w:eastAsia="zh-CN"/>
        </w:rPr>
      </w:pPr>
    </w:p>
    <w:p>
      <w:pPr>
        <w:pStyle w:val="2"/>
        <w:ind w:left="0" w:leftChars="0" w:firstLine="0" w:firstLineChars="0"/>
        <w:rPr>
          <w:color w:val="000000"/>
        </w:rPr>
      </w:pPr>
    </w:p>
    <w:tbl>
      <w:tblPr>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rPr>
          <w:trHeight w:val="473" w:hRule="atLeast"/>
        </w:trPr>
        <w:tc>
          <w:tcPr>
            <w:tcW w:w="8240" w:type="dxa"/>
            <w:tcBorders>
              <w:top w:val="single" w:color="auto" w:sz="4" w:space="0"/>
              <w:left w:val="single" w:color="auto" w:sz="4" w:space="0"/>
              <w:bottom w:val="single" w:color="auto" w:sz="4" w:space="0"/>
              <w:right w:val="single" w:color="auto" w:sz="4" w:space="0"/>
            </w:tcBorders>
            <w:vAlign w:val="top"/>
          </w:tcPr>
          <w:p>
            <w:pPr>
              <w:pStyle w:val="3"/>
              <w:spacing w:line="400" w:lineRule="exact"/>
              <w:jc w:val="center"/>
              <w:rPr>
                <w:rFonts w:ascii="仿宋_GB2312" w:hAnsi="楷体" w:eastAsia="仿宋_GB2312" w:cs="仿宋"/>
                <w:color w:val="000000"/>
                <w:kern w:val="0"/>
                <w:sz w:val="24"/>
                <w:szCs w:val="24"/>
              </w:rPr>
            </w:pPr>
            <w:r>
              <w:rPr>
                <w:rFonts w:hint="eastAsia" w:ascii="仿宋_GB2312" w:hAnsi="楷体" w:eastAsia="仿宋_GB2312" w:cs="仿宋"/>
                <w:b/>
                <w:bCs/>
                <w:color w:val="000000"/>
                <w:kern w:val="0"/>
                <w:sz w:val="24"/>
                <w:szCs w:val="24"/>
              </w:rPr>
              <w:t>专栏</w:t>
            </w:r>
            <w:r>
              <w:rPr>
                <w:rFonts w:ascii="仿宋_GB2312" w:hAnsi="楷体" w:eastAsia="仿宋_GB2312" w:cs="仿宋"/>
                <w:b/>
                <w:bCs/>
                <w:color w:val="000000"/>
                <w:kern w:val="0"/>
                <w:sz w:val="24"/>
                <w:szCs w:val="24"/>
              </w:rPr>
              <w:t>2</w:t>
            </w:r>
            <w:r>
              <w:rPr>
                <w:rFonts w:hint="eastAsia" w:ascii="仿宋_GB2312" w:hAnsi="楷体" w:eastAsia="仿宋_GB2312" w:cs="仿宋"/>
                <w:b/>
                <w:bCs/>
                <w:color w:val="000000"/>
                <w:kern w:val="0"/>
                <w:sz w:val="24"/>
                <w:szCs w:val="24"/>
              </w:rPr>
              <w:t>：传统产业重点项目</w:t>
            </w:r>
          </w:p>
        </w:tc>
      </w:tr>
      <w:tr>
        <w:trPr>
          <w:trHeight w:val="7030" w:hRule="atLeast"/>
        </w:trPr>
        <w:tc>
          <w:tcPr>
            <w:tcW w:w="8240" w:type="dxa"/>
            <w:tcBorders>
              <w:top w:val="single" w:color="auto" w:sz="4" w:space="0"/>
              <w:left w:val="single" w:color="auto" w:sz="4" w:space="0"/>
              <w:bottom w:val="single" w:color="auto" w:sz="4" w:space="0"/>
              <w:right w:val="single" w:color="auto" w:sz="4" w:space="0"/>
            </w:tcBorders>
            <w:vAlign w:val="top"/>
          </w:tcPr>
          <w:p>
            <w:pPr>
              <w:widowControl/>
              <w:spacing w:line="400" w:lineRule="exact"/>
              <w:ind w:firstLine="482" w:firstLineChars="200"/>
              <w:rPr>
                <w:rFonts w:ascii="仿宋_GB2312" w:hAnsi="楷体" w:eastAsia="仿宋_GB2312" w:cs="仿宋"/>
                <w:color w:val="000000"/>
                <w:kern w:val="0"/>
                <w:sz w:val="24"/>
              </w:rPr>
            </w:pPr>
            <w:r>
              <w:rPr>
                <w:rFonts w:hint="eastAsia" w:ascii="仿宋_GB2312" w:hAnsi="楷体" w:eastAsia="仿宋_GB2312" w:cs="仿宋"/>
                <w:b/>
                <w:color w:val="000000"/>
                <w:kern w:val="0"/>
                <w:sz w:val="24"/>
              </w:rPr>
              <w:t>食品加工产业。</w:t>
            </w:r>
            <w:r>
              <w:rPr>
                <w:rFonts w:hint="eastAsia" w:ascii="仿宋_GB2312" w:hAnsi="楷体" w:eastAsia="仿宋_GB2312" w:cs="仿宋"/>
                <w:color w:val="000000"/>
                <w:kern w:val="0"/>
                <w:sz w:val="24"/>
              </w:rPr>
              <w:t>重点实施白庙乡年产8000吨农副产品加工项目、薛店镇年产5000吨豆制品加工及种植基地项目、渣园乡酱菜加工园区、姚庄乡山泉瓶装水生产线项目等。</w:t>
            </w:r>
          </w:p>
          <w:p>
            <w:pPr>
              <w:widowControl/>
              <w:wordWrap/>
              <w:adjustRightInd/>
              <w:snapToGrid/>
              <w:spacing w:line="400" w:lineRule="exact"/>
              <w:ind w:firstLine="482" w:firstLineChars="200"/>
              <w:textAlignment w:val="auto"/>
              <w:rPr>
                <w:rFonts w:hint="eastAsia" w:ascii="仿宋_GB2312" w:hAnsi="楷体" w:eastAsia="仿宋_GB2312" w:cs="仿宋"/>
                <w:color w:val="000000"/>
                <w:kern w:val="0"/>
                <w:sz w:val="24"/>
              </w:rPr>
            </w:pPr>
            <w:r>
              <w:rPr>
                <w:rFonts w:hint="eastAsia" w:ascii="仿宋_GB2312" w:hAnsi="楷体" w:eastAsia="仿宋_GB2312" w:cs="仿宋"/>
                <w:b/>
                <w:color w:val="000000"/>
                <w:kern w:val="0"/>
                <w:sz w:val="24"/>
              </w:rPr>
              <w:t>陶瓷产业</w:t>
            </w:r>
            <w:r>
              <w:rPr>
                <w:rFonts w:hint="eastAsia" w:ascii="仿宋_GB2312" w:hAnsi="楷体" w:eastAsia="仿宋_GB2312" w:cs="仿宋"/>
                <w:color w:val="000000"/>
                <w:kern w:val="0"/>
                <w:sz w:val="24"/>
              </w:rPr>
              <w:t>。重点实施艺宝纸制品有限公司年产500万张瓷用花纸项目、众鑫陶瓷有限公司年产100万件日用陶瓷项目、广源陶瓷厂年产200万件日用陶瓷项目、超飞陶瓷文化有限公司年产10万件（套）陶瓷工艺品项目、神前传奇唐钧瓷有限公司豫西陶瓷交易中心、TOTO公司高档生活陶瓷外资项目、云飞塑料制品厂陶瓷用塑料包装材料加工项目等。</w:t>
            </w:r>
          </w:p>
          <w:p>
            <w:pPr>
              <w:widowControl/>
              <w:wordWrap/>
              <w:adjustRightInd/>
              <w:snapToGrid/>
              <w:spacing w:line="400" w:lineRule="exact"/>
              <w:ind w:firstLine="482" w:firstLineChars="20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b/>
                <w:color w:val="000000"/>
                <w:kern w:val="0"/>
                <w:sz w:val="24"/>
                <w:lang w:val="en-US" w:eastAsia="zh-CN"/>
              </w:rPr>
              <w:t>郏县</w:t>
            </w:r>
            <w:r>
              <w:rPr>
                <w:rFonts w:hint="eastAsia" w:ascii="仿宋_GB2312" w:hAnsi="仿宋_GB2312" w:eastAsia="仿宋_GB2312" w:cs="仿宋_GB2312"/>
                <w:b/>
                <w:color w:val="000000"/>
                <w:kern w:val="0"/>
                <w:sz w:val="24"/>
              </w:rPr>
              <w:t>红牛产业</w:t>
            </w:r>
            <w:r>
              <w:rPr>
                <w:rFonts w:hint="eastAsia" w:ascii="仿宋_GB2312" w:hAnsi="仿宋_GB2312" w:eastAsia="仿宋_GB2312" w:cs="仿宋_GB2312"/>
                <w:color w:val="000000"/>
                <w:kern w:val="0"/>
                <w:sz w:val="24"/>
              </w:rPr>
              <w:t>。坚定不移走全链、专营、高端、品牌发展之路。重点实施郏县红牛保种繁育场、红牛研究院、河南省肉牛产业体系郏县红牛综合实验站、郏县红牛防疫服务体系、博士后流动站等科研技术项目；郏县红牛产品研发中心、郏县红牛展览馆及文化中心、郏县红牛仓储物流项目、郏县红牛屠宰加工生产线项目等红牛产品加工项目。</w:t>
            </w:r>
          </w:p>
          <w:p>
            <w:pPr>
              <w:widowControl/>
              <w:spacing w:line="400" w:lineRule="exact"/>
              <w:ind w:firstLine="482" w:firstLineChars="200"/>
              <w:rPr>
                <w:rFonts w:ascii="仿宋_GB2312" w:hAnsi="楷体" w:eastAsia="仿宋_GB2312" w:cs="仿宋"/>
                <w:color w:val="000000"/>
                <w:kern w:val="0"/>
                <w:sz w:val="24"/>
              </w:rPr>
            </w:pPr>
            <w:r>
              <w:rPr>
                <w:rFonts w:hint="eastAsia" w:ascii="仿宋_GB2312" w:hAnsi="仿宋_GB2312" w:eastAsia="仿宋_GB2312" w:cs="仿宋_GB2312"/>
                <w:b/>
                <w:color w:val="000000"/>
                <w:kern w:val="0"/>
                <w:sz w:val="24"/>
              </w:rPr>
              <w:t>炊具产业</w:t>
            </w:r>
            <w:r>
              <w:rPr>
                <w:rFonts w:hint="eastAsia" w:ascii="仿宋_GB2312" w:hAnsi="仿宋_GB2312" w:eastAsia="仿宋_GB2312" w:cs="仿宋_GB2312"/>
                <w:color w:val="000000"/>
                <w:kern w:val="0"/>
                <w:sz w:val="24"/>
              </w:rPr>
              <w:t>。组建郏县铁锅集团</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24"/>
              </w:rPr>
              <w:t>重点实施厨具产业园研发中心、厨具金属表面处理工业园、厨具产业园铁锅配件生产园区、渤海交易平台二期仓储转运中心、锦奥厨具包装生产线项目、年产800万口精品珐琅锅制造项目、年产不锈钢厨具生产建设项目、河南中帅年产100万套高档炊具生产项目。</w:t>
            </w:r>
          </w:p>
        </w:tc>
      </w:tr>
    </w:tbl>
    <w:p>
      <w:pPr>
        <w:spacing w:line="580" w:lineRule="exact"/>
        <w:ind w:firstLine="640" w:firstLineChars="200"/>
        <w:rPr>
          <w:rFonts w:eastAsia="仿宋"/>
          <w:color w:val="000000"/>
          <w:sz w:val="32"/>
          <w:szCs w:val="32"/>
        </w:rPr>
      </w:pPr>
    </w:p>
    <w:p>
      <w:pPr>
        <w:pStyle w:val="43"/>
        <w:spacing w:afterLines="50"/>
        <w:rPr>
          <w:b/>
          <w:bCs/>
          <w:color w:val="000000"/>
          <w:sz w:val="36"/>
          <w:szCs w:val="36"/>
        </w:rPr>
      </w:pPr>
      <w:bookmarkStart w:id="60" w:name="_Toc62807683"/>
      <w:bookmarkStart w:id="61" w:name="_Toc31244"/>
      <w:r>
        <w:rPr>
          <w:rFonts w:hint="eastAsia"/>
          <w:b/>
          <w:bCs/>
          <w:color w:val="000000"/>
          <w:sz w:val="36"/>
          <w:szCs w:val="36"/>
        </w:rPr>
        <w:t>第二节  重点培育战略新兴产业</w:t>
      </w:r>
      <w:bookmarkEnd w:id="60"/>
      <w:bookmarkEnd w:id="61"/>
    </w:p>
    <w:p>
      <w:pPr>
        <w:spacing w:line="58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培育壮大节能环保产业。</w:t>
      </w:r>
      <w:r>
        <w:rPr>
          <w:rFonts w:hint="eastAsia" w:ascii="仿宋_GB2312" w:hAnsi="仿宋_GB2312" w:eastAsia="仿宋_GB2312" w:cs="仿宋_GB2312"/>
          <w:color w:val="000000"/>
          <w:sz w:val="32"/>
          <w:szCs w:val="32"/>
        </w:rPr>
        <w:t>依托环保包装专业园，壮大产业规模，丰富餐饮外卖包装、生鲜冷链包装、电商包装、快递包装、商场包装、酒店包装等品类，大力推广使用可重复和可再生的包装材料、可食性包装材料、可降解材料和天然纸质材料，引进搭建环保包装企业与电商、物流仓储企业对接平台。大力开发大气、水、土壤和城镇生活垃圾、危废、建筑垃圾处理等环保技术装备，工业废渣、尾矿、固废等资源循环利用技术装备，逐步扩大节能环保产业规模，加强技术创新，不断提高节能环保应用技术装备水平。</w:t>
      </w:r>
    </w:p>
    <w:p>
      <w:pPr>
        <w:autoSpaceDE w:val="0"/>
        <w:autoSpaceDN w:val="0"/>
        <w:adjustRightInd w:val="0"/>
        <w:snapToGrid w:val="0"/>
        <w:spacing w:line="600" w:lineRule="exact"/>
        <w:ind w:firstLine="643" w:firstLineChars="200"/>
        <w:rPr>
          <w:rFonts w:eastAsia="仿宋_GB2312"/>
          <w:color w:val="000000"/>
        </w:rPr>
      </w:pPr>
      <w:r>
        <w:rPr>
          <w:rFonts w:hint="eastAsia" w:ascii="楷体_GB2312" w:hAnsi="楷体_GB2312" w:eastAsia="楷体_GB2312" w:cs="楷体_GB2312"/>
          <w:b/>
          <w:bCs/>
          <w:color w:val="000000"/>
          <w:sz w:val="32"/>
          <w:szCs w:val="32"/>
        </w:rPr>
        <w:t>改造提升建材产业。</w:t>
      </w:r>
      <w:r>
        <w:rPr>
          <w:rFonts w:hint="eastAsia" w:ascii="仿宋_GB2312" w:hAnsi="仿宋_GB2312" w:eastAsia="仿宋_GB2312" w:cs="仿宋_GB2312"/>
          <w:color w:val="000000"/>
          <w:sz w:val="32"/>
          <w:szCs w:val="32"/>
        </w:rPr>
        <w:t>依托建材产业园，扩大传统建材产品生产规模。紧盯装配式建材、绿色建材前沿技术，坚持绿色、减量、提质、增效方向，占领建材行业制高点，积极创建国家级和省级绿色工厂。鼓励中联天广向商品混凝土、水泥制品和建筑部品等全产业链延伸，紧跟个性化、定制化产品的市场需求，发展装配式建筑、绿色建材、特种型材，构建装配式建筑产业链，打造豫西南重要的新型建材生产基地。</w:t>
      </w:r>
    </w:p>
    <w:p>
      <w:pPr>
        <w:spacing w:line="58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大力发展战略新兴产业及配套。</w:t>
      </w:r>
      <w:r>
        <w:rPr>
          <w:rFonts w:hint="eastAsia" w:ascii="仿宋_GB2312" w:hAnsi="仿宋_GB2312" w:eastAsia="仿宋_GB2312" w:cs="仿宋_GB2312"/>
          <w:color w:val="000000"/>
          <w:sz w:val="32"/>
          <w:szCs w:val="32"/>
        </w:rPr>
        <w:t>加快发展5G通信产品，引进数字经济、物联网、智能终端、</w:t>
      </w:r>
      <w:r>
        <w:rPr>
          <w:rFonts w:ascii="仿宋_GB2312" w:hAnsi="仿宋_GB2312" w:eastAsia="仿宋_GB2312" w:cs="仿宋_GB2312"/>
          <w:color w:val="000000"/>
          <w:sz w:val="32"/>
          <w:szCs w:val="32"/>
        </w:rPr>
        <w:t>新能源</w:t>
      </w:r>
      <w:r>
        <w:rPr>
          <w:rFonts w:hint="eastAsia" w:ascii="仿宋_GB2312" w:hAnsi="仿宋_GB2312" w:eastAsia="仿宋_GB2312" w:cs="仿宋_GB2312"/>
          <w:color w:val="000000"/>
          <w:sz w:val="32"/>
          <w:szCs w:val="32"/>
        </w:rPr>
        <w:t>、智惠物流等战略新兴型产业在我县落地，使之成为吸引和整合战略性新兴产业集群内外创新资源的核心，构建战略性新兴产业发展新高地</w:t>
      </w:r>
      <w:r>
        <w:rPr>
          <w:rFonts w:hint="eastAsia" w:ascii="仿宋_GB2312" w:hAnsi="仿宋_GB2312" w:eastAsia="仿宋_GB2312" w:cs="仿宋_GB2312"/>
          <w:color w:val="000000"/>
          <w:spacing w:val="-6"/>
          <w:sz w:val="32"/>
          <w:szCs w:val="32"/>
        </w:rPr>
        <w:t>。</w:t>
      </w:r>
      <w:r>
        <w:rPr>
          <w:rFonts w:ascii="仿宋_GB2312" w:hAnsi="仿宋_GB2312" w:eastAsia="仿宋_GB2312" w:cs="仿宋_GB2312"/>
          <w:color w:val="000000"/>
          <w:spacing w:val="-6"/>
          <w:sz w:val="32"/>
          <w:szCs w:val="32"/>
        </w:rPr>
        <w:t>积极承接国际国内产业转移，</w:t>
      </w:r>
      <w:r>
        <w:rPr>
          <w:rFonts w:hint="eastAsia" w:ascii="仿宋_GB2312" w:hAnsi="仿宋_GB2312" w:eastAsia="仿宋_GB2312" w:cs="仿宋_GB2312"/>
          <w:color w:val="000000"/>
          <w:spacing w:val="-6"/>
          <w:sz w:val="32"/>
          <w:szCs w:val="32"/>
        </w:rPr>
        <w:t>引进集成电路、电子材料、电子应用、电子专</w:t>
      </w:r>
      <w:r>
        <w:rPr>
          <w:rFonts w:hint="eastAsia" w:ascii="仿宋_GB2312" w:hAnsi="仿宋_GB2312" w:eastAsia="仿宋_GB2312" w:cs="仿宋_GB2312"/>
          <w:color w:val="000000"/>
          <w:sz w:val="32"/>
          <w:szCs w:val="32"/>
        </w:rPr>
        <w:t>用设备、超高清视频元器件、电子传感器等产业。</w:t>
      </w:r>
    </w:p>
    <w:tbl>
      <w:tblPr>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rPr>
          <w:trHeight w:val="473" w:hRule="atLeast"/>
        </w:trPr>
        <w:tc>
          <w:tcPr>
            <w:tcW w:w="8240" w:type="dxa"/>
            <w:tcBorders>
              <w:top w:val="single" w:color="auto" w:sz="4" w:space="0"/>
              <w:left w:val="single" w:color="auto" w:sz="4" w:space="0"/>
              <w:bottom w:val="single" w:color="auto" w:sz="4" w:space="0"/>
              <w:right w:val="single" w:color="auto" w:sz="4" w:space="0"/>
            </w:tcBorders>
            <w:vAlign w:val="top"/>
          </w:tcPr>
          <w:p>
            <w:pPr>
              <w:pStyle w:val="3"/>
              <w:spacing w:line="400" w:lineRule="exact"/>
              <w:jc w:val="center"/>
              <w:rPr>
                <w:rFonts w:ascii="仿宋_GB2312" w:hAnsi="楷体" w:eastAsia="仿宋_GB2312" w:cs="仿宋"/>
                <w:b/>
                <w:bCs/>
                <w:color w:val="000000"/>
                <w:kern w:val="0"/>
                <w:sz w:val="24"/>
                <w:szCs w:val="24"/>
              </w:rPr>
            </w:pPr>
            <w:r>
              <w:rPr>
                <w:rFonts w:hint="eastAsia" w:ascii="仿宋_GB2312" w:hAnsi="楷体" w:eastAsia="仿宋_GB2312" w:cs="仿宋"/>
                <w:b/>
                <w:bCs/>
                <w:color w:val="000000"/>
                <w:kern w:val="0"/>
                <w:sz w:val="24"/>
                <w:szCs w:val="24"/>
              </w:rPr>
              <w:t>专栏</w:t>
            </w:r>
            <w:r>
              <w:rPr>
                <w:rFonts w:ascii="仿宋_GB2312" w:hAnsi="楷体" w:eastAsia="仿宋_GB2312" w:cs="仿宋"/>
                <w:b/>
                <w:bCs/>
                <w:color w:val="000000"/>
                <w:kern w:val="0"/>
                <w:sz w:val="24"/>
                <w:szCs w:val="24"/>
              </w:rPr>
              <w:t>3</w:t>
            </w:r>
            <w:r>
              <w:rPr>
                <w:rFonts w:hint="eastAsia" w:ascii="仿宋_GB2312" w:hAnsi="楷体" w:eastAsia="仿宋_GB2312" w:cs="仿宋"/>
                <w:b/>
                <w:bCs/>
                <w:color w:val="000000"/>
                <w:kern w:val="0"/>
                <w:sz w:val="24"/>
                <w:szCs w:val="24"/>
              </w:rPr>
              <w:t>：新兴产业重点项目</w:t>
            </w:r>
          </w:p>
        </w:tc>
      </w:tr>
      <w:tr>
        <w:tc>
          <w:tcPr>
            <w:tcW w:w="824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400" w:lineRule="exact"/>
              <w:ind w:firstLine="482" w:firstLineChars="200"/>
              <w:textAlignment w:val="auto"/>
              <w:rPr>
                <w:rFonts w:ascii="仿宋_GB2312" w:hAnsi="楷体" w:eastAsia="仿宋_GB2312" w:cs="仿宋"/>
                <w:color w:val="000000"/>
                <w:kern w:val="0"/>
                <w:sz w:val="24"/>
              </w:rPr>
            </w:pPr>
            <w:r>
              <w:rPr>
                <w:rFonts w:hint="eastAsia" w:ascii="仿宋_GB2312" w:hAnsi="楷体" w:eastAsia="仿宋_GB2312" w:cs="仿宋"/>
                <w:b/>
                <w:color w:val="000000"/>
                <w:kern w:val="0"/>
                <w:sz w:val="24"/>
              </w:rPr>
              <w:t>节能环保产业</w:t>
            </w:r>
            <w:r>
              <w:rPr>
                <w:rFonts w:hint="eastAsia" w:ascii="仿宋_GB2312" w:hAnsi="楷体" w:eastAsia="仿宋_GB2312" w:cs="仿宋"/>
                <w:color w:val="000000"/>
                <w:kern w:val="0"/>
                <w:sz w:val="24"/>
              </w:rPr>
              <w:t>。重点实施冢头镇年产320万件打包餐盒产业项目、冢头镇年产80万套一次性餐具包装制品项目、益盛塑胶年产1亿只可降解环保餐具项目、薛店镇食品包装箱生产加工项目等环保包装项目、白庙乡无害化处理餐厨垃圾设备制造项目、网易通环保给水管道项目二期、白庙乡建材环保设备制造项目。</w:t>
            </w:r>
          </w:p>
          <w:p>
            <w:pPr>
              <w:widowControl/>
              <w:wordWrap/>
              <w:adjustRightInd/>
              <w:snapToGrid/>
              <w:spacing w:line="400" w:lineRule="exact"/>
              <w:ind w:firstLine="482" w:firstLineChars="200"/>
              <w:textAlignment w:val="auto"/>
              <w:rPr>
                <w:color w:val="000000"/>
              </w:rPr>
            </w:pPr>
            <w:r>
              <w:rPr>
                <w:rFonts w:hint="eastAsia" w:ascii="仿宋_GB2312" w:hAnsi="楷体" w:eastAsia="仿宋_GB2312" w:cs="仿宋"/>
                <w:b/>
                <w:color w:val="000000"/>
                <w:kern w:val="0"/>
                <w:sz w:val="24"/>
              </w:rPr>
              <w:t>新型建材</w:t>
            </w:r>
            <w:r>
              <w:rPr>
                <w:rFonts w:hint="eastAsia" w:ascii="仿宋_GB2312" w:hAnsi="楷体" w:eastAsia="仿宋_GB2312" w:cs="仿宋"/>
                <w:color w:val="000000"/>
                <w:kern w:val="0"/>
                <w:sz w:val="24"/>
              </w:rPr>
              <w:t>。</w:t>
            </w:r>
            <w:r>
              <w:rPr>
                <w:rFonts w:ascii="仿宋_GB2312" w:hAnsi="楷体" w:eastAsia="仿宋_GB2312" w:cs="仿宋"/>
                <w:color w:val="000000"/>
                <w:kern w:val="0"/>
                <w:sz w:val="24"/>
              </w:rPr>
              <w:t>中联天广水泥有限公司装配式建筑项目</w:t>
            </w:r>
            <w:r>
              <w:rPr>
                <w:rFonts w:hint="eastAsia" w:ascii="仿宋_GB2312" w:hAnsi="楷体" w:eastAsia="仿宋_GB2312" w:cs="仿宋"/>
                <w:color w:val="000000"/>
                <w:kern w:val="0"/>
                <w:sz w:val="24"/>
              </w:rPr>
              <w:t>、河南天玉绿色装配式建材项目、薛店镇年产6000万块环保透水砖项目、薛店镇新型环保建材生产线建设项目、茨芭镇年产100万立方新型墙体材料加工项目、河南华畅建筑科技有限公司年产600万平方米海绵城市透气排水防护系统等。</w:t>
            </w:r>
          </w:p>
          <w:p>
            <w:pPr>
              <w:widowControl/>
              <w:wordWrap/>
              <w:adjustRightInd/>
              <w:snapToGrid/>
              <w:spacing w:line="400" w:lineRule="exact"/>
              <w:ind w:firstLine="482" w:firstLineChars="200"/>
              <w:textAlignment w:val="auto"/>
              <w:rPr>
                <w:rFonts w:ascii="仿宋_GB2312" w:hAnsi="楷体" w:eastAsia="仿宋_GB2312" w:cs="仿宋"/>
                <w:color w:val="000000"/>
                <w:kern w:val="0"/>
                <w:sz w:val="24"/>
              </w:rPr>
            </w:pPr>
            <w:r>
              <w:rPr>
                <w:rFonts w:hint="eastAsia" w:ascii="仿宋_GB2312" w:hAnsi="楷体" w:eastAsia="仿宋_GB2312" w:cs="仿宋"/>
                <w:b/>
                <w:color w:val="000000"/>
                <w:kern w:val="0"/>
                <w:sz w:val="24"/>
              </w:rPr>
              <w:t>战略新兴产业</w:t>
            </w:r>
            <w:r>
              <w:rPr>
                <w:rFonts w:hint="eastAsia" w:ascii="仿宋_GB2312" w:hAnsi="楷体" w:eastAsia="仿宋_GB2312" w:cs="仿宋"/>
                <w:color w:val="000000"/>
                <w:kern w:val="0"/>
                <w:sz w:val="24"/>
              </w:rPr>
              <w:t>。重</w:t>
            </w:r>
            <w:r>
              <w:rPr>
                <w:rFonts w:hint="eastAsia" w:ascii="仿宋_GB2312" w:hAnsi="楷体" w:eastAsia="仿宋_GB2312" w:cs="仿宋"/>
                <w:color w:val="000000"/>
                <w:spacing w:val="-6"/>
                <w:kern w:val="0"/>
                <w:sz w:val="24"/>
              </w:rPr>
              <w:t>点实施东城街道5G信号收发器项目、李口镇自动化及智能设备研发生产项目、李口镇年产两万套机井灌溉控制器项目、深圳市卡米诺科技公司智能电子设备</w:t>
            </w:r>
            <w:r>
              <w:rPr>
                <w:rFonts w:hint="eastAsia" w:ascii="仿宋_GB2312" w:hAnsi="楷体" w:eastAsia="仿宋_GB2312" w:cs="仿宋"/>
                <w:color w:val="000000"/>
                <w:kern w:val="0"/>
                <w:sz w:val="24"/>
              </w:rPr>
              <w:t>项目、白庙乡晶体电子产品制造项目等。</w:t>
            </w:r>
          </w:p>
        </w:tc>
      </w:tr>
    </w:tbl>
    <w:p>
      <w:pPr>
        <w:spacing w:line="580" w:lineRule="exact"/>
        <w:ind w:firstLine="640" w:firstLineChars="200"/>
        <w:rPr>
          <w:rFonts w:eastAsia="仿宋"/>
          <w:color w:val="000000"/>
          <w:sz w:val="32"/>
          <w:szCs w:val="32"/>
        </w:rPr>
      </w:pPr>
    </w:p>
    <w:p>
      <w:pPr>
        <w:pStyle w:val="43"/>
        <w:spacing w:afterLines="50"/>
        <w:rPr>
          <w:b/>
          <w:bCs/>
          <w:color w:val="000000"/>
          <w:sz w:val="36"/>
          <w:szCs w:val="36"/>
        </w:rPr>
      </w:pPr>
      <w:bookmarkStart w:id="62" w:name="_Toc62807684"/>
      <w:bookmarkStart w:id="63" w:name="_Toc5491"/>
      <w:r>
        <w:rPr>
          <w:rFonts w:hint="eastAsia"/>
          <w:b/>
          <w:bCs/>
          <w:color w:val="000000"/>
          <w:sz w:val="36"/>
          <w:szCs w:val="36"/>
        </w:rPr>
        <w:t>第三节  统筹龙头企业扩张和中小企业壮大</w:t>
      </w:r>
      <w:bookmarkEnd w:id="62"/>
      <w:bookmarkEnd w:id="63"/>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集群化、园区化为方向，围绕全县郏县红牛、铸铁炊具、装备制造等产业集群打造，通过产业链式布局、专业化配套、数字化转型、集群化发展，加快培育壮大县域产业集群规模。加快小微企业、科技型企业、高成长性企业的培育，制定并实施有效的小微企业成长计划，培优扶强，发展壮大，推动中小微企业上规升级。鼓励民营企业以更大力度参与重大规划、重大项目、重大工程、重大活动。</w:t>
      </w:r>
    </w:p>
    <w:p>
      <w:pPr>
        <w:pStyle w:val="42"/>
        <w:spacing w:beforeLines="50" w:afterLines="50"/>
        <w:rPr>
          <w:b w:val="0"/>
          <w:bCs/>
          <w:color w:val="000000"/>
          <w:szCs w:val="32"/>
        </w:rPr>
      </w:pPr>
      <w:bookmarkStart w:id="64" w:name="_Toc9847"/>
      <w:r>
        <w:rPr>
          <w:rFonts w:hint="eastAsia"/>
          <w:b w:val="0"/>
          <w:bCs/>
          <w:color w:val="000000"/>
          <w:szCs w:val="32"/>
        </w:rPr>
        <w:t>第三章  促进服务业繁荣发展</w:t>
      </w:r>
      <w:bookmarkEnd w:id="51"/>
      <w:bookmarkEnd w:id="64"/>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适应新时期人口结构、城乡结构变化，顺应消费升级和产业结构升级大趋势，抢抓疫情后补短板机遇，推动生产性服务业向专业化和价值链高端延伸、生活性服务业向高品质和多样化升级，加快细分市场和服务业新热点培育，提高服务效率和品质，以发展提速、比重提高、结构提升为主攻方向，促进</w:t>
      </w:r>
      <w:r>
        <w:rPr>
          <w:rFonts w:ascii="仿宋_GB2312" w:hAnsi="仿宋_GB2312" w:eastAsia="仿宋_GB2312" w:cs="仿宋_GB2312"/>
          <w:color w:val="000000"/>
          <w:sz w:val="32"/>
          <w:szCs w:val="32"/>
        </w:rPr>
        <w:t>服务业繁荣发展</w:t>
      </w:r>
      <w:r>
        <w:rPr>
          <w:rFonts w:hint="eastAsia" w:ascii="仿宋_GB2312" w:hAnsi="仿宋_GB2312" w:eastAsia="仿宋_GB2312" w:cs="仿宋_GB2312"/>
          <w:color w:val="000000"/>
          <w:sz w:val="32"/>
          <w:szCs w:val="32"/>
        </w:rPr>
        <w:t>。</w:t>
      </w:r>
    </w:p>
    <w:p>
      <w:pPr>
        <w:pStyle w:val="43"/>
        <w:spacing w:beforeLines="50" w:afterLines="50"/>
        <w:rPr>
          <w:b/>
          <w:bCs/>
          <w:color w:val="000000"/>
          <w:sz w:val="36"/>
          <w:szCs w:val="36"/>
        </w:rPr>
      </w:pPr>
      <w:bookmarkStart w:id="65" w:name="_Toc62991738"/>
      <w:bookmarkStart w:id="66" w:name="_Toc10678"/>
      <w:r>
        <w:rPr>
          <w:rFonts w:hint="eastAsia"/>
          <w:b/>
          <w:bCs/>
          <w:color w:val="000000"/>
          <w:sz w:val="36"/>
          <w:szCs w:val="36"/>
        </w:rPr>
        <w:t>第一节  大力发展文化旅游业</w:t>
      </w:r>
      <w:bookmarkEnd w:id="65"/>
      <w:bookmarkEnd w:id="66"/>
    </w:p>
    <w:p>
      <w:pPr>
        <w:pStyle w:val="29"/>
        <w:spacing w:line="580" w:lineRule="exact"/>
        <w:ind w:firstLine="640"/>
        <w:rPr>
          <w:rFonts w:ascii="仿宋_GB2312" w:hAnsi="仿宋_GB2312" w:cs="仿宋_GB2312"/>
          <w:color w:val="000000"/>
          <w:szCs w:val="32"/>
        </w:rPr>
      </w:pPr>
      <w:r>
        <w:rPr>
          <w:rFonts w:hint="eastAsia" w:ascii="华文仿宋" w:hAnsi="华文仿宋" w:eastAsia="华文仿宋" w:cs="华文仿宋"/>
          <w:color w:val="000000"/>
          <w:szCs w:val="32"/>
        </w:rPr>
        <w:t>以创建国家全域旅游示范区为载体，坚持“文旅富县”战略，加快文旅融合发展。充分挖掘文化底蕴，叫响“豫味老家˙乡愁郏县”靓丽名片，把乡愁资源活化为产业。提质发展眼明泉森林公园、姚庄、临沣寨、知青园、三苏园等A级景点，构建“一核（古韵县城核心区）两带（沿汝河的文旅康养度假旅游示范带、沿白庙—安良—冢头的乡村田园观光旅游示范带）四群（以冢头镇李渡口村、茨芭镇山头赵村、堂街镇临沣寨村、黄道镇王英沟村为核心的四个古村落群）五镇（三苏文化小镇、古寨文化小镇、茶食文化小镇、知青文化小镇、“谋圣”文化小镇）”文化旅游发展新格局。丰富旅游业态，探索“旅游+康养”，打造集生产、生活、生态于一体的健康养生福城；实行“旅游+乡村”新模式，深入挖掘农耕文化、农事体验、特色种植、原生文化价值，培育乡村特色民宿、生态旅游精品基地；推动“旅游+美食”深度融合，依托中国郏县美食文化周，发挥红牛肉、饸烙面、豆腐菜、姚庄饮食文化等传统特色美食优势，创造性推出郏县网红美食，打造特色美食名城。创新景区管理体制机制，完善景区基础设施和相关配套，加大特色旅游产品研发、营销策划、宣传包装推广、人才培养等方面政策支持，激发景区自身发展动能。打造夜间旅游景区、夜间亲子乐园、夜间乐动场馆、夜间学习时点、夜间购物潮地、夜间晚味去处、夜间风情街区等消费场景，呈现出多元、多面、多点的新“夜”态。推进景区道路整治提升，构建“快旅慢游”立体式旅游交通网络系统。完善旅游功能和配套设施，加大旅游停车场、标识标牌、旅游厕所等建设力度，完善吃、住、行、游、购、娱旅游六大要素，高质量为游客做好优质服务。完善智慧旅游体系，建设智慧旅游公众信息服务平台，个性化开发景区、酒店、特色街、特色村等客户端产品。加强国家级旅游景区创建申报工作，力争到2025年，5A级景区实现零的突破，国家4A级旅游景区3个。</w:t>
      </w:r>
    </w:p>
    <w:tbl>
      <w:tblPr>
        <w:tblW w:w="82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0"/>
      </w:tblGrid>
      <w:tr>
        <w:tc>
          <w:tcPr>
            <w:tcW w:w="8240" w:type="dxa"/>
            <w:vAlign w:val="top"/>
          </w:tcPr>
          <w:p>
            <w:pPr>
              <w:pStyle w:val="3"/>
              <w:spacing w:line="400" w:lineRule="exact"/>
              <w:jc w:val="center"/>
              <w:rPr>
                <w:rFonts w:hint="eastAsia" w:ascii="仿宋_GB2312" w:hAnsi="仿宋_GB2312" w:eastAsia="仿宋_GB2312" w:cs="仿宋_GB2312"/>
                <w:b/>
                <w:color w:val="000000"/>
                <w:kern w:val="0"/>
                <w:sz w:val="28"/>
                <w:szCs w:val="20"/>
              </w:rPr>
            </w:pPr>
            <w:r>
              <w:rPr>
                <w:rFonts w:hint="eastAsia" w:ascii="仿宋_GB2312" w:hAnsi="仿宋_GB2312" w:eastAsia="仿宋_GB2312" w:cs="仿宋_GB2312"/>
                <w:b/>
                <w:bCs/>
                <w:color w:val="000000"/>
                <w:kern w:val="0"/>
                <w:sz w:val="24"/>
                <w:szCs w:val="24"/>
              </w:rPr>
              <w:t>专栏4：全域旅游重点项目</w:t>
            </w:r>
          </w:p>
        </w:tc>
      </w:tr>
      <w:tr>
        <w:tc>
          <w:tcPr>
            <w:tcW w:w="8240" w:type="dxa"/>
            <w:vAlign w:val="top"/>
          </w:tcPr>
          <w:p>
            <w:pPr>
              <w:widowControl/>
              <w:wordWrap/>
              <w:adjustRightInd/>
              <w:snapToGrid/>
              <w:spacing w:line="400" w:lineRule="exact"/>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创建国家全域旅游示范区，叫响“豫味老家</w:t>
            </w: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kern w:val="0"/>
                <w:sz w:val="24"/>
              </w:rPr>
              <w:t>乡愁郏县”靓丽名片，打造乡村旅游度假目的地。重点实施千年郏县</w:t>
            </w:r>
            <w:r>
              <w:rPr>
                <w:rFonts w:hint="eastAsia" w:ascii="仿宋_GB2312" w:hAnsi="仿宋_GB2312" w:eastAsia="仿宋_GB2312" w:cs="仿宋_GB2312"/>
                <w:color w:val="000000"/>
                <w:kern w:val="0"/>
                <w:sz w:val="24"/>
                <w:lang w:val="en-US" w:eastAsia="zh-CN"/>
              </w:rPr>
              <w:t>·老城区文旅融合项目</w:t>
            </w:r>
            <w:r>
              <w:rPr>
                <w:rFonts w:hint="eastAsia" w:ascii="仿宋_GB2312" w:hAnsi="仿宋_GB2312" w:eastAsia="仿宋_GB2312" w:cs="仿宋_GB2312"/>
                <w:color w:val="000000"/>
                <w:kern w:val="0"/>
                <w:sz w:val="24"/>
              </w:rPr>
              <w:t>，建设郏县山陕会馆片区综合开发项目、郏县旅游集散中心项目、姚庄4A级旅游景区提升项目、眼明泉3A级景区提升项目、全县传统村落基础设施建设项目、堂街镇临沣寨文旅综合开发、马湾村生态观光旅游项目、安良镇红石崖景区开发建设项目、渣园乡“仝卢马”文化休闲旅游综合体项目、茨芭镇山头赵旅游开发项目、东城街道王家庄生态旅游项目、郏县文旅康养示范区一期基础设施建设项目、姚庄休闲小镇项目、广阔天地大有作为纪念馆二期、堂街镇地热温泉度假康养中心、冢头镇蓝河古渡景区开发项目、薛店镇吕沟民俗文化旅游村建设项目。</w:t>
            </w:r>
          </w:p>
        </w:tc>
      </w:tr>
    </w:tbl>
    <w:p>
      <w:pPr>
        <w:pStyle w:val="3"/>
        <w:rPr>
          <w:color w:val="000000"/>
        </w:rPr>
      </w:pPr>
    </w:p>
    <w:p>
      <w:pPr>
        <w:pStyle w:val="43"/>
        <w:spacing w:afterLines="50"/>
        <w:rPr>
          <w:b/>
          <w:bCs/>
          <w:color w:val="000000"/>
          <w:sz w:val="36"/>
          <w:szCs w:val="36"/>
        </w:rPr>
      </w:pPr>
      <w:bookmarkStart w:id="67" w:name="_Toc62991739"/>
      <w:bookmarkStart w:id="68" w:name="_Toc7497"/>
      <w:r>
        <w:rPr>
          <w:rFonts w:hint="eastAsia"/>
          <w:b/>
          <w:bCs/>
          <w:color w:val="000000"/>
          <w:sz w:val="36"/>
          <w:szCs w:val="36"/>
        </w:rPr>
        <w:t>第二节  优化提升现代物流业</w:t>
      </w:r>
      <w:bookmarkEnd w:id="67"/>
      <w:bookmarkEnd w:id="68"/>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充分发挥郏县作为平顶山对接郑州都市圈的门户枢纽优势，</w:t>
      </w:r>
      <w:r>
        <w:rPr>
          <w:rFonts w:ascii="仿宋_GB2312" w:hAnsi="仿宋_GB2312" w:eastAsia="仿宋_GB2312" w:cs="仿宋_GB2312"/>
          <w:color w:val="000000"/>
          <w:sz w:val="32"/>
          <w:szCs w:val="32"/>
        </w:rPr>
        <w:t>着力畅通县域内以及与周边城市物流联系，</w:t>
      </w:r>
      <w:r>
        <w:rPr>
          <w:rFonts w:hint="eastAsia" w:ascii="仿宋_GB2312" w:hAnsi="仿宋_GB2312" w:eastAsia="仿宋_GB2312" w:cs="仿宋_GB2312"/>
          <w:color w:val="000000"/>
          <w:sz w:val="32"/>
          <w:szCs w:val="32"/>
        </w:rPr>
        <w:t>重点发展电商物流、工业物流、大宗商品物流、城市配送物流、农产品物流，积极促进物流业与制造业融合发展。</w:t>
      </w:r>
      <w:r>
        <w:rPr>
          <w:rFonts w:hint="eastAsia" w:ascii="仿宋_GB2312" w:hAnsi="仿宋_GB2312" w:eastAsia="仿宋_GB2312" w:cs="仿宋_GB2312"/>
          <w:color w:val="000000"/>
          <w:sz w:val="32"/>
          <w:szCs w:val="32"/>
          <w:lang w:val="en-US" w:eastAsia="zh-CN"/>
        </w:rPr>
        <w:t>谋划大型仓储物流项目，</w:t>
      </w:r>
      <w:r>
        <w:rPr>
          <w:rFonts w:ascii="仿宋_GB2312" w:hAnsi="仿宋_GB2312" w:eastAsia="仿宋_GB2312" w:cs="仿宋_GB2312"/>
          <w:color w:val="000000"/>
          <w:sz w:val="32"/>
          <w:szCs w:val="32"/>
        </w:rPr>
        <w:t>依托</w:t>
      </w:r>
      <w:r>
        <w:rPr>
          <w:rFonts w:hint="eastAsia" w:ascii="仿宋_GB2312" w:hAnsi="仿宋_GB2312" w:eastAsia="仿宋_GB2312" w:cs="仿宋_GB2312"/>
          <w:color w:val="000000"/>
          <w:sz w:val="32"/>
          <w:szCs w:val="32"/>
        </w:rPr>
        <w:t>郏县贯通农博城、三洋铁路物流园、厨具物流专业园项目建设，</w:t>
      </w:r>
      <w:r>
        <w:rPr>
          <w:rFonts w:ascii="仿宋_GB2312" w:hAnsi="仿宋_GB2312" w:eastAsia="仿宋_GB2312" w:cs="仿宋_GB2312"/>
          <w:color w:val="000000"/>
          <w:sz w:val="32"/>
          <w:szCs w:val="32"/>
        </w:rPr>
        <w:t>补齐物流园区、配送中心、末端网点三级城乡配送网络体系。</w:t>
      </w:r>
      <w:r>
        <w:rPr>
          <w:rFonts w:hint="eastAsia" w:ascii="仿宋_GB2312" w:hAnsi="仿宋_GB2312" w:eastAsia="仿宋_GB2312" w:cs="仿宋_GB2312"/>
          <w:color w:val="000000"/>
          <w:sz w:val="32"/>
          <w:szCs w:val="32"/>
        </w:rPr>
        <w:t>依托郏县特色农产品优势产业，大力发展冷链物流，</w:t>
      </w:r>
      <w:r>
        <w:rPr>
          <w:rFonts w:ascii="仿宋_GB2312" w:hAnsi="仿宋_GB2312" w:eastAsia="仿宋_GB2312" w:cs="仿宋_GB2312"/>
          <w:color w:val="000000"/>
          <w:sz w:val="32"/>
          <w:szCs w:val="32"/>
        </w:rPr>
        <w:t>保障鲜活农产品和食品流通安全，</w:t>
      </w:r>
      <w:r>
        <w:rPr>
          <w:rFonts w:hint="eastAsia" w:ascii="仿宋_GB2312" w:hAnsi="仿宋_GB2312" w:eastAsia="仿宋_GB2312" w:cs="仿宋_GB2312"/>
          <w:color w:val="000000"/>
          <w:sz w:val="32"/>
          <w:szCs w:val="32"/>
        </w:rPr>
        <w:t>打造中原重要的绿色食品产销基地</w:t>
      </w:r>
      <w:r>
        <w:rPr>
          <w:rFonts w:ascii="仿宋_GB2312" w:hAnsi="仿宋_GB2312" w:eastAsia="仿宋_GB2312" w:cs="仿宋_GB2312"/>
          <w:color w:val="000000"/>
          <w:sz w:val="32"/>
          <w:szCs w:val="32"/>
        </w:rPr>
        <w:t>。引进知名企业建设2-3个专业型区域性物流分拨配送中心，培育一批商贸物流供应链“链主”型企业。大力发展智慧物流</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推广自动识别、电子数据交换、货物跟踪、智能交通、物联网等先进技术装备，探索区块链技术在物流领域应用</w:t>
      </w:r>
      <w:r>
        <w:rPr>
          <w:rFonts w:hint="eastAsia" w:ascii="仿宋_GB2312" w:hAnsi="仿宋_GB2312" w:eastAsia="仿宋_GB2312" w:cs="仿宋_GB2312"/>
          <w:color w:val="000000"/>
          <w:sz w:val="32"/>
          <w:szCs w:val="32"/>
          <w:lang w:eastAsia="zh-CN"/>
        </w:rPr>
        <w:t>。依托润泽（郏县）智惠产业创新城项目建设，打造中原智慧物流创新基地。</w:t>
      </w:r>
      <w:r>
        <w:rPr>
          <w:rFonts w:hint="eastAsia" w:ascii="仿宋_GB2312" w:hAnsi="仿宋_GB2312" w:eastAsia="仿宋_GB2312" w:cs="仿宋_GB2312"/>
          <w:color w:val="000000"/>
          <w:sz w:val="32"/>
          <w:szCs w:val="32"/>
        </w:rPr>
        <w:t>力争到“十四五”末，把郏县打造成为郑州、洛阳、平顶山之间的区域性物流中心。</w:t>
      </w:r>
    </w:p>
    <w:tbl>
      <w:tblPr>
        <w:tblW w:w="82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0"/>
      </w:tblGrid>
      <w:tr>
        <w:tc>
          <w:tcPr>
            <w:tcW w:w="8240" w:type="dxa"/>
            <w:vAlign w:val="top"/>
          </w:tcPr>
          <w:p>
            <w:pPr>
              <w:pStyle w:val="3"/>
              <w:spacing w:line="400" w:lineRule="exact"/>
              <w:jc w:val="center"/>
              <w:rPr>
                <w:rFonts w:hint="eastAsia" w:ascii="仿宋_GB2312" w:hAnsi="仿宋_GB2312" w:eastAsia="仿宋_GB2312" w:cs="仿宋_GB2312"/>
                <w:b/>
                <w:color w:val="000000"/>
                <w:kern w:val="0"/>
                <w:sz w:val="28"/>
                <w:szCs w:val="20"/>
              </w:rPr>
            </w:pPr>
            <w:r>
              <w:rPr>
                <w:rFonts w:hint="eastAsia" w:ascii="仿宋_GB2312" w:hAnsi="仿宋_GB2312" w:eastAsia="仿宋_GB2312" w:cs="仿宋_GB2312"/>
                <w:b/>
                <w:bCs/>
                <w:color w:val="000000"/>
                <w:kern w:val="0"/>
                <w:sz w:val="24"/>
                <w:szCs w:val="24"/>
              </w:rPr>
              <w:t>专栏5：现代物流重点项目</w:t>
            </w:r>
          </w:p>
        </w:tc>
      </w:tr>
      <w:tr>
        <w:trPr>
          <w:trHeight w:val="1781" w:hRule="atLeast"/>
        </w:trPr>
        <w:tc>
          <w:tcPr>
            <w:tcW w:w="8240" w:type="dxa"/>
            <w:vAlign w:val="top"/>
          </w:tcPr>
          <w:p>
            <w:pPr>
              <w:widowControl/>
              <w:wordWrap/>
              <w:adjustRightInd/>
              <w:snapToGrid/>
              <w:spacing w:line="400" w:lineRule="exact"/>
              <w:ind w:firstLine="480" w:firstLineChars="20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bCs/>
                <w:color w:val="000000"/>
                <w:kern w:val="0"/>
                <w:sz w:val="24"/>
              </w:rPr>
              <w:t>重点实施</w:t>
            </w:r>
            <w:r>
              <w:rPr>
                <w:rFonts w:hint="eastAsia" w:ascii="仿宋_GB2312" w:hAnsi="仿宋_GB2312" w:eastAsia="仿宋_GB2312" w:cs="仿宋_GB2312"/>
                <w:color w:val="000000"/>
                <w:kern w:val="0"/>
                <w:sz w:val="24"/>
                <w:lang w:eastAsia="zh-CN"/>
              </w:rPr>
              <w:t>润泽（郏县）智惠产业创新城项目，</w:t>
            </w:r>
            <w:r>
              <w:rPr>
                <w:rFonts w:hint="eastAsia" w:ascii="仿宋_GB2312" w:hAnsi="仿宋_GB2312" w:eastAsia="仿宋_GB2312" w:cs="仿宋_GB2312"/>
                <w:color w:val="000000"/>
                <w:kern w:val="0"/>
                <w:sz w:val="24"/>
              </w:rPr>
              <w:t>安良、茨芭、黄道三洋铁路物流园，郏县贯通博城、郏县仓储冷链物流设施体系建设项目、李口镇明嘉冷链物流项目、东城街道佰亿冷链物流项目、白庙乡江东冷链物流园项目、</w:t>
            </w:r>
            <w:r>
              <w:rPr>
                <w:rFonts w:hint="eastAsia" w:ascii="仿宋_GB2312" w:hAnsi="仿宋_GB2312" w:eastAsia="仿宋_GB2312" w:cs="仿宋_GB2312"/>
                <w:color w:val="000000"/>
                <w:kern w:val="0"/>
                <w:sz w:val="24"/>
                <w:lang w:val="en-US" w:eastAsia="zh-CN"/>
              </w:rPr>
              <w:t>广阔天地</w:t>
            </w:r>
            <w:r>
              <w:rPr>
                <w:rFonts w:hint="eastAsia" w:ascii="仿宋_GB2312" w:hAnsi="仿宋_GB2312" w:eastAsia="仿宋_GB2312" w:cs="仿宋_GB2312"/>
                <w:color w:val="000000"/>
                <w:kern w:val="0"/>
                <w:sz w:val="24"/>
              </w:rPr>
              <w:t>乡厨具物流专业园、13个乡镇客货邮服务中心项目</w:t>
            </w:r>
            <w:r>
              <w:rPr>
                <w:rFonts w:hint="eastAsia" w:ascii="仿宋_GB2312" w:hAnsi="仿宋_GB2312" w:eastAsia="仿宋_GB2312" w:cs="仿宋_GB2312"/>
                <w:color w:val="000000"/>
                <w:sz w:val="24"/>
              </w:rPr>
              <w:t>。</w:t>
            </w:r>
          </w:p>
        </w:tc>
      </w:tr>
    </w:tbl>
    <w:p>
      <w:pPr>
        <w:pStyle w:val="29"/>
        <w:spacing w:line="580" w:lineRule="exact"/>
        <w:ind w:firstLine="643"/>
        <w:rPr>
          <w:rFonts w:ascii="楷体_GB2312" w:hAnsi="楷体_GB2312" w:eastAsia="楷体_GB2312" w:cs="楷体_GB2312"/>
          <w:b/>
          <w:bCs/>
          <w:color w:val="000000"/>
          <w:szCs w:val="32"/>
        </w:rPr>
      </w:pPr>
    </w:p>
    <w:p>
      <w:pPr>
        <w:pStyle w:val="43"/>
        <w:spacing w:afterLines="50"/>
        <w:rPr>
          <w:b/>
          <w:bCs/>
          <w:color w:val="000000"/>
          <w:sz w:val="36"/>
          <w:szCs w:val="36"/>
        </w:rPr>
      </w:pPr>
      <w:bookmarkStart w:id="69" w:name="_Toc62991740"/>
      <w:bookmarkStart w:id="70" w:name="_Toc10766"/>
      <w:r>
        <w:rPr>
          <w:rFonts w:hint="eastAsia"/>
          <w:b/>
          <w:bCs/>
          <w:color w:val="000000"/>
          <w:sz w:val="36"/>
          <w:szCs w:val="36"/>
        </w:rPr>
        <w:t xml:space="preserve">第三节 </w:t>
      </w:r>
      <w:r>
        <w:rPr>
          <w:b/>
          <w:bCs/>
          <w:color w:val="000000"/>
          <w:sz w:val="36"/>
          <w:szCs w:val="36"/>
        </w:rPr>
        <w:t xml:space="preserve"> </w:t>
      </w:r>
      <w:r>
        <w:rPr>
          <w:rFonts w:hint="eastAsia"/>
          <w:b/>
          <w:bCs/>
          <w:color w:val="000000"/>
          <w:sz w:val="36"/>
          <w:szCs w:val="36"/>
        </w:rPr>
        <w:t>大力发展电子商务</w:t>
      </w:r>
      <w:bookmarkEnd w:id="69"/>
      <w:bookmarkEnd w:id="70"/>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以创建国家电子商务进农村综合示范县为抓手，以苏宁易购郏县旗舰店建设为契机，积极融入阿里巴巴平顶山产业带建设，</w:t>
      </w:r>
      <w:r>
        <w:rPr>
          <w:rFonts w:ascii="仿宋_GB2312" w:hAnsi="仿宋_GB2312" w:cs="仿宋_GB2312"/>
          <w:color w:val="000000"/>
          <w:szCs w:val="32"/>
        </w:rPr>
        <w:t>加快发展电商产业，培育一批电子商务示范企业和示范园区。完善农村流通网络，推进农村电子商务和快递业发展，</w:t>
      </w:r>
      <w:r>
        <w:rPr>
          <w:rFonts w:hint="eastAsia" w:ascii="仿宋_GB2312" w:hAnsi="仿宋_GB2312" w:cs="仿宋_GB2312"/>
          <w:color w:val="000000"/>
          <w:szCs w:val="32"/>
        </w:rPr>
        <w:t>重点推动铸铁锅、富硒农产品、红牛产品及陶瓷等郏县特色农产品线上线下展销，</w:t>
      </w:r>
      <w:r>
        <w:rPr>
          <w:rFonts w:ascii="仿宋_GB2312" w:hAnsi="仿宋_GB2312" w:cs="仿宋_GB2312"/>
          <w:color w:val="000000"/>
          <w:szCs w:val="32"/>
        </w:rPr>
        <w:t>促进工业品下行和农产品上行双向流通。推动生产制造领域电子商务的普及应用，鼓励引导县内生产企业采取网络零售、在线批发、代运营等多种方式，全方位发展电子商务。培育发展网红经济、平台经济和共享经济等新业态</w:t>
      </w:r>
      <w:r>
        <w:rPr>
          <w:rFonts w:hint="eastAsia" w:ascii="仿宋_GB2312" w:hAnsi="仿宋_GB2312" w:cs="仿宋_GB2312"/>
          <w:color w:val="000000"/>
          <w:szCs w:val="32"/>
        </w:rPr>
        <w:t>，鼓励商家通过网络直播、短视频等方式开展营销活动，释放网上展销、网络直播、网红带货等电商消费潜力。积极开展电子商务人才培训，加快培养电子商务领域的高素质专门人才和技术技能人才。</w:t>
      </w:r>
    </w:p>
    <w:p>
      <w:pPr>
        <w:pStyle w:val="43"/>
        <w:spacing w:beforeLines="50" w:afterLines="50"/>
        <w:rPr>
          <w:rFonts w:hAnsi="楷体_GB2312" w:cs="楷体_GB2312"/>
          <w:b/>
          <w:bCs/>
          <w:color w:val="000000"/>
          <w:sz w:val="36"/>
          <w:szCs w:val="36"/>
        </w:rPr>
      </w:pPr>
      <w:bookmarkStart w:id="71" w:name="_Toc62991741"/>
      <w:bookmarkStart w:id="72" w:name="_Toc28408"/>
      <w:r>
        <w:rPr>
          <w:rFonts w:hint="eastAsia" w:hAnsi="楷体_GB2312" w:cs="楷体_GB2312"/>
          <w:b/>
          <w:bCs/>
          <w:color w:val="000000"/>
          <w:sz w:val="36"/>
          <w:szCs w:val="36"/>
        </w:rPr>
        <w:t>第四节  推进商贸服务业提质增效</w:t>
      </w:r>
      <w:bookmarkEnd w:id="71"/>
      <w:bookmarkEnd w:id="72"/>
    </w:p>
    <w:p>
      <w:pPr>
        <w:pStyle w:val="29"/>
        <w:spacing w:line="580" w:lineRule="exact"/>
        <w:ind w:firstLine="640"/>
        <w:rPr>
          <w:rFonts w:ascii="仿宋_GB2312" w:hAnsi="仿宋_GB2312" w:cs="仿宋_GB2312"/>
          <w:color w:val="000000"/>
          <w:szCs w:val="32"/>
        </w:rPr>
      </w:pPr>
      <w:r>
        <w:rPr>
          <w:rFonts w:hint="eastAsia" w:ascii="仿宋_GB2312" w:hAnsi="仿宋_GB2312" w:eastAsia="仿宋_GB2312" w:cs="仿宋_GB2312"/>
          <w:color w:val="000000"/>
          <w:szCs w:val="32"/>
        </w:rPr>
        <w:t>进一步完善网点布局，推动大型商贸流通企业营销网络向农村延伸，加快建设乡镇商贸中心、商品配送中心、中心村直营连锁店，构建以“县城支撑、重点镇补充、农村为基础”的商贸服务格局。加快新老城区商圈改造提升，重点抓好北三环综合商贸中心、现代商业街、白庙乡古玩交易市场等项目建设，积极培育建设现代业态领先、购物环境领先、综合设施领先、服务管理领先的商贸综合中心。发展社区商业，着力打造“15分钟便民生活圈”。加快郏县渤海铁锅交易中心、薛店镇小商品城等专业市场建设，出台专项奖补政策，吸引一批一级、二级批发商入驻郏县市场，提升辐射能力。坚持服务监督相结合，</w:t>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https://www.so.com/link?m=b+ulfzLif/M6keKWAjp3s0sX/9Z8Zj5TFOlewErMC8jXaHBpo2H5A6Xv7tzQQHtzjCKijD6SdeBlbvQSDAoTxDOmEGKVrRZ5D/PP7Fi0+9fT7PuFUw76R0saJqnYoFrnBKADVFfxE2Tqh/RrHwxigyrz7ua75/VEC0bRk2Ff/VfIaoRAJfOG9lXK0+QILPA1qhri4NsTkhxxYntvvbgVz3TDihiMGMzRyFVybMdcSFQIRne1CUvj0/C2p0HgunCaKa1tVMVdhtV2wWL2gIFFfTPXLMVD4o1D3+rtb/Ldf18wkCf9u" \t "/cryptofs/367710/wps-root/x/_blank"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Cs w:val="32"/>
        </w:rPr>
        <w:t>多举措推进住宿餐饮业健康有序发展</w:t>
      </w:r>
      <w:r>
        <w:rPr>
          <w:rFonts w:hint="eastAsia" w:ascii="仿宋_GB2312" w:hAnsi="仿宋_GB2312" w:eastAsia="仿宋_GB2312" w:cs="仿宋_GB2312"/>
          <w:color w:val="000000"/>
          <w:szCs w:val="32"/>
        </w:rPr>
        <w:fldChar w:fldCharType="end"/>
      </w:r>
      <w:r>
        <w:rPr>
          <w:rFonts w:hint="eastAsia" w:ascii="仿宋_GB2312" w:hAnsi="仿宋_GB2312" w:eastAsia="仿宋_GB2312" w:cs="仿宋_GB2312"/>
          <w:color w:val="000000"/>
          <w:szCs w:val="32"/>
        </w:rPr>
        <w:t>。</w:t>
      </w:r>
    </w:p>
    <w:tbl>
      <w:tblPr>
        <w:tblW w:w="82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0"/>
      </w:tblGrid>
      <w:tr>
        <w:tc>
          <w:tcPr>
            <w:tcW w:w="8240" w:type="dxa"/>
            <w:vAlign w:val="top"/>
          </w:tcPr>
          <w:p>
            <w:pPr>
              <w:pStyle w:val="3"/>
              <w:spacing w:line="400" w:lineRule="exact"/>
              <w:jc w:val="center"/>
              <w:rPr>
                <w:rFonts w:hint="eastAsia" w:ascii="仿宋_GB2312" w:hAnsi="仿宋_GB2312" w:eastAsia="仿宋_GB2312" w:cs="仿宋_GB2312"/>
                <w:b/>
                <w:color w:val="000000"/>
                <w:kern w:val="0"/>
                <w:sz w:val="28"/>
                <w:szCs w:val="20"/>
              </w:rPr>
            </w:pPr>
            <w:r>
              <w:rPr>
                <w:rFonts w:hint="eastAsia" w:ascii="仿宋_GB2312" w:hAnsi="仿宋_GB2312" w:eastAsia="仿宋_GB2312" w:cs="仿宋_GB2312"/>
                <w:b/>
                <w:bCs/>
                <w:color w:val="000000"/>
                <w:kern w:val="0"/>
                <w:sz w:val="24"/>
                <w:szCs w:val="24"/>
              </w:rPr>
              <w:t>专栏6：商贸服务重点项目</w:t>
            </w:r>
          </w:p>
        </w:tc>
      </w:tr>
      <w:tr>
        <w:tc>
          <w:tcPr>
            <w:tcW w:w="8240" w:type="dxa"/>
            <w:vAlign w:val="top"/>
          </w:tcPr>
          <w:p>
            <w:pPr>
              <w:widowControl/>
              <w:wordWrap/>
              <w:adjustRightInd/>
              <w:snapToGrid/>
              <w:spacing w:line="400" w:lineRule="exact"/>
              <w:ind w:firstLine="480" w:firstLineChars="20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重点实施厚合商业综合体、电子商务智能配送投递园、洪源美术品有限公司古</w:t>
            </w:r>
            <w:r>
              <w:rPr>
                <w:rFonts w:hint="eastAsia" w:ascii="仿宋_GB2312" w:hAnsi="仿宋_GB2312" w:eastAsia="仿宋_GB2312" w:cs="仿宋_GB2312"/>
                <w:color w:val="000000"/>
                <w:spacing w:val="-6"/>
                <w:kern w:val="0"/>
                <w:sz w:val="24"/>
              </w:rPr>
              <w:t>玩交易中心项目（安良镇）、郏县夜经济圈基础设施配套、基层供销社为农服务能力提升项目、北三环综合商贸中心、郏县高铁站区综合开发项目、薛店镇小商品城建设项目等、农作物新品种展示平台项目（10个）、五星级大酒店、</w:t>
            </w:r>
            <w:r>
              <w:rPr>
                <w:rFonts w:hint="eastAsia" w:ascii="仿宋_GB2312" w:hAnsi="仿宋_GB2312" w:eastAsia="仿宋_GB2312" w:cs="仿宋_GB2312"/>
                <w:color w:val="000000"/>
                <w:kern w:val="0"/>
                <w:sz w:val="24"/>
              </w:rPr>
              <w:t>郏县农村产权交易中心平台建设项目、郏县“互联网、乡村振兴”大数据综合服务平台项目、郏县城乡产业协同发展平台配套设施建设项目。</w:t>
            </w:r>
          </w:p>
        </w:tc>
      </w:tr>
    </w:tbl>
    <w:p>
      <w:pPr>
        <w:pStyle w:val="43"/>
        <w:spacing w:afterLines="50"/>
        <w:rPr>
          <w:b/>
          <w:bCs/>
          <w:color w:val="000000"/>
          <w:sz w:val="36"/>
          <w:szCs w:val="36"/>
        </w:rPr>
      </w:pPr>
      <w:bookmarkStart w:id="73" w:name="_Toc62991742"/>
      <w:bookmarkStart w:id="74" w:name="_Toc14715"/>
      <w:r>
        <w:rPr>
          <w:rFonts w:hint="eastAsia"/>
          <w:b/>
          <w:bCs/>
          <w:color w:val="000000"/>
          <w:sz w:val="36"/>
          <w:szCs w:val="36"/>
        </w:rPr>
        <w:t xml:space="preserve">第五节 </w:t>
      </w:r>
      <w:r>
        <w:rPr>
          <w:b/>
          <w:bCs/>
          <w:color w:val="000000"/>
          <w:sz w:val="36"/>
          <w:szCs w:val="36"/>
        </w:rPr>
        <w:t xml:space="preserve"> 加快发展现代金融</w:t>
      </w:r>
      <w:r>
        <w:rPr>
          <w:rFonts w:hint="eastAsia"/>
          <w:b/>
          <w:bCs/>
          <w:color w:val="000000"/>
          <w:sz w:val="36"/>
          <w:szCs w:val="36"/>
        </w:rPr>
        <w:t>业</w:t>
      </w:r>
      <w:bookmarkEnd w:id="73"/>
      <w:bookmarkEnd w:id="74"/>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加大金融支持实体经济发展力度，创新金融产品，大力推动供应链融资和“技术改造项目贷款”业务发展。优先稳定中小微企业资金链，确保新增融资重点支持中小微企业发展。支持企业直接融资，鼓励企业采用多种方式灵活上市。加快发展普惠金融，加大金融支农支小力度，鼓励区域商业银行在</w:t>
      </w:r>
      <w:r>
        <w:rPr>
          <w:rFonts w:hint="eastAsia" w:ascii="仿宋_GB2312" w:hAnsi="仿宋_GB2312" w:eastAsia="仿宋_GB2312" w:cs="仿宋_GB2312"/>
          <w:color w:val="000000"/>
          <w:sz w:val="32"/>
          <w:szCs w:val="32"/>
        </w:rPr>
        <w:t>郏县</w:t>
      </w:r>
      <w:r>
        <w:rPr>
          <w:rFonts w:ascii="仿宋_GB2312" w:hAnsi="仿宋_GB2312" w:eastAsia="仿宋_GB2312" w:cs="仿宋_GB2312"/>
          <w:color w:val="000000"/>
          <w:sz w:val="32"/>
          <w:szCs w:val="32"/>
        </w:rPr>
        <w:t>设立独立法人机构。</w:t>
      </w:r>
    </w:p>
    <w:p>
      <w:pPr>
        <w:pStyle w:val="43"/>
        <w:spacing w:beforeLines="50" w:afterLines="50"/>
        <w:rPr>
          <w:color w:val="000000"/>
          <w:szCs w:val="32"/>
        </w:rPr>
      </w:pPr>
      <w:bookmarkStart w:id="75" w:name="_Toc62991743"/>
      <w:bookmarkStart w:id="76" w:name="_Toc15709"/>
      <w:r>
        <w:rPr>
          <w:rFonts w:hint="eastAsia"/>
          <w:b/>
          <w:bCs/>
          <w:color w:val="000000"/>
          <w:sz w:val="36"/>
          <w:szCs w:val="36"/>
        </w:rPr>
        <w:t xml:space="preserve">第六节 </w:t>
      </w:r>
      <w:r>
        <w:rPr>
          <w:b/>
          <w:bCs/>
          <w:color w:val="000000"/>
          <w:sz w:val="36"/>
          <w:szCs w:val="36"/>
        </w:rPr>
        <w:t xml:space="preserve"> </w:t>
      </w:r>
      <w:r>
        <w:rPr>
          <w:rFonts w:hint="eastAsia"/>
          <w:b/>
          <w:bCs/>
          <w:color w:val="000000"/>
          <w:sz w:val="36"/>
          <w:szCs w:val="36"/>
        </w:rPr>
        <w:t>培育壮大健康养老</w:t>
      </w:r>
      <w:bookmarkEnd w:id="75"/>
      <w:r>
        <w:rPr>
          <w:rFonts w:hint="eastAsia"/>
          <w:b/>
          <w:bCs/>
          <w:color w:val="000000"/>
          <w:sz w:val="36"/>
          <w:szCs w:val="36"/>
        </w:rPr>
        <w:t>产业</w:t>
      </w:r>
      <w:bookmarkEnd w:id="76"/>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发挥</w:t>
      </w:r>
      <w:r>
        <w:rPr>
          <w:rFonts w:ascii="仿宋_GB2312" w:hAnsi="仿宋_GB2312" w:cs="仿宋_GB2312"/>
          <w:color w:val="000000"/>
          <w:szCs w:val="32"/>
        </w:rPr>
        <w:t>郏县“</w:t>
      </w:r>
      <w:r>
        <w:rPr>
          <w:rFonts w:hint="eastAsia" w:ascii="仿宋_GB2312" w:hAnsi="仿宋_GB2312" w:cs="仿宋_GB2312"/>
          <w:color w:val="000000"/>
          <w:szCs w:val="32"/>
        </w:rPr>
        <w:t>长寿之乡</w:t>
      </w:r>
      <w:r>
        <w:rPr>
          <w:rFonts w:ascii="仿宋_GB2312" w:hAnsi="仿宋_GB2312" w:cs="仿宋_GB2312"/>
          <w:color w:val="000000"/>
          <w:szCs w:val="32"/>
        </w:rPr>
        <w:t>”</w:t>
      </w:r>
      <w:r>
        <w:rPr>
          <w:rFonts w:hint="eastAsia" w:ascii="仿宋_GB2312" w:hAnsi="仿宋_GB2312" w:cs="仿宋_GB2312"/>
          <w:color w:val="000000"/>
          <w:szCs w:val="32"/>
        </w:rPr>
        <w:t>品牌优势</w:t>
      </w:r>
      <w:r>
        <w:rPr>
          <w:rFonts w:ascii="仿宋_GB2312" w:hAnsi="仿宋_GB2312" w:cs="仿宋_GB2312"/>
          <w:color w:val="000000"/>
          <w:szCs w:val="32"/>
        </w:rPr>
        <w:t>，</w:t>
      </w:r>
      <w:r>
        <w:rPr>
          <w:rFonts w:hint="eastAsia" w:ascii="仿宋_GB2312" w:hAnsi="仿宋_GB2312" w:cs="仿宋_GB2312"/>
          <w:color w:val="000000"/>
          <w:szCs w:val="32"/>
        </w:rPr>
        <w:t>树立健康养老大产业观念，鼓励开办具有医疗卫生和养老服务资质、能力的医养结合养老机构，加快构筑包括养老医疗保健、康复护理、托管托养服务、养老陪护家政服务、养老地产、养老保险、养老中介等服务高效融合的养老产业链。加快智能健康产品创新和应用，促进智慧健康养老产业发展。积极发展健康管理产业，支持医院体检中心向综合性健康管理机构转型，拓展健康管理服务产业链，开展咨询、筛查、干预、风险评估、档案建立、就诊指导、就诊预约等全过程综合健康管理服务。</w:t>
      </w:r>
    </w:p>
    <w:tbl>
      <w:tblPr>
        <w:tblW w:w="82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0"/>
      </w:tblGrid>
      <w:tr>
        <w:tc>
          <w:tcPr>
            <w:tcW w:w="8240" w:type="dxa"/>
            <w:vAlign w:val="top"/>
          </w:tcPr>
          <w:p>
            <w:pPr>
              <w:pStyle w:val="3"/>
              <w:spacing w:line="400" w:lineRule="exact"/>
              <w:jc w:val="center"/>
              <w:rPr>
                <w:rFonts w:ascii="楷体_GB2312" w:eastAsia="楷体_GB2312" w:cs="仿宋"/>
                <w:b/>
                <w:color w:val="000000"/>
                <w:kern w:val="0"/>
                <w:sz w:val="28"/>
                <w:szCs w:val="20"/>
              </w:rPr>
            </w:pPr>
            <w:r>
              <w:rPr>
                <w:rFonts w:hint="eastAsia" w:ascii="仿宋_GB2312" w:hAnsi="楷体" w:eastAsia="仿宋_GB2312" w:cs="仿宋"/>
                <w:b/>
                <w:bCs/>
                <w:color w:val="000000"/>
                <w:kern w:val="0"/>
                <w:sz w:val="24"/>
                <w:szCs w:val="24"/>
              </w:rPr>
              <w:t>专栏</w:t>
            </w:r>
            <w:r>
              <w:rPr>
                <w:rFonts w:ascii="仿宋_GB2312" w:hAnsi="楷体" w:eastAsia="仿宋_GB2312" w:cs="仿宋"/>
                <w:b/>
                <w:bCs/>
                <w:color w:val="000000"/>
                <w:kern w:val="0"/>
                <w:sz w:val="24"/>
                <w:szCs w:val="24"/>
              </w:rPr>
              <w:t>7</w:t>
            </w:r>
            <w:r>
              <w:rPr>
                <w:rFonts w:hint="eastAsia" w:ascii="仿宋_GB2312" w:hAnsi="楷体" w:eastAsia="仿宋_GB2312" w:cs="仿宋"/>
                <w:b/>
                <w:bCs/>
                <w:color w:val="000000"/>
                <w:kern w:val="0"/>
                <w:sz w:val="24"/>
                <w:szCs w:val="24"/>
              </w:rPr>
              <w:t>：健康养老重点项目</w:t>
            </w:r>
          </w:p>
        </w:tc>
      </w:tr>
      <w:tr>
        <w:tc>
          <w:tcPr>
            <w:tcW w:w="8240" w:type="dxa"/>
            <w:vAlign w:val="top"/>
          </w:tcPr>
          <w:p>
            <w:pPr>
              <w:widowControl/>
              <w:spacing w:line="400" w:lineRule="exact"/>
              <w:ind w:firstLine="480" w:firstLineChars="200"/>
              <w:rPr>
                <w:rFonts w:eastAsia="仿宋_GB2312" w:cs="仿宋"/>
                <w:color w:val="000000"/>
                <w:kern w:val="0"/>
                <w:sz w:val="24"/>
              </w:rPr>
            </w:pPr>
            <w:r>
              <w:rPr>
                <w:rFonts w:hint="eastAsia" w:ascii="仿宋_GB2312" w:hAnsi="楷体" w:eastAsia="仿宋_GB2312" w:cs="仿宋"/>
                <w:bCs/>
                <w:color w:val="000000"/>
                <w:kern w:val="0"/>
                <w:sz w:val="24"/>
              </w:rPr>
              <w:t>汝河南岸康养示范区、郏县中医康养项目、郏县健康养老服务中心项目、郏县仁济医院养老服务中心升级改造项目、郏县康泰医院医养结合项目、赵寨夕阳红健康养老基地项目</w:t>
            </w:r>
            <w:r>
              <w:rPr>
                <w:rFonts w:hint="eastAsia" w:eastAsia="仿宋_GB2312" w:cs="仿宋"/>
                <w:color w:val="000000"/>
                <w:kern w:val="0"/>
                <w:sz w:val="24"/>
              </w:rPr>
              <w:t>、郏县伊甸园养老服务中心、郏县老知青爱晚养老中心、郏县益康苑老年公寓、郏县老年养护院建设项目、郏县四知堂中医院医养服务中心普惠养老城企联动建设项目等。</w:t>
            </w:r>
          </w:p>
        </w:tc>
      </w:tr>
    </w:tbl>
    <w:p>
      <w:pPr>
        <w:pStyle w:val="43"/>
        <w:spacing w:afterLines="50"/>
        <w:rPr>
          <w:b/>
          <w:bCs/>
          <w:color w:val="000000"/>
          <w:sz w:val="36"/>
          <w:szCs w:val="36"/>
        </w:rPr>
      </w:pPr>
      <w:bookmarkStart w:id="77" w:name="_Toc62991744"/>
      <w:bookmarkStart w:id="78" w:name="_Toc14826"/>
      <w:r>
        <w:rPr>
          <w:rFonts w:hint="eastAsia"/>
          <w:b/>
          <w:bCs/>
          <w:color w:val="000000"/>
          <w:sz w:val="36"/>
          <w:szCs w:val="36"/>
        </w:rPr>
        <w:t>第七节  培育发展</w:t>
      </w:r>
      <w:r>
        <w:rPr>
          <w:b/>
          <w:bCs/>
          <w:color w:val="000000"/>
          <w:sz w:val="36"/>
          <w:szCs w:val="36"/>
        </w:rPr>
        <w:t>其他服务业</w:t>
      </w:r>
      <w:bookmarkEnd w:id="77"/>
      <w:bookmarkEnd w:id="78"/>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发展信息服务业，以电子政务和智慧城管建设为抓手，构建信息交流、政策发布、招商引资、行政审批等多功能政务平台，提高教育、医疗卫生、文化娱乐、环境监测、社会保障等公共服务领域的信息化水平</w:t>
      </w:r>
      <w:r>
        <w:rPr>
          <w:rFonts w:ascii="仿宋_GB2312" w:hAnsi="仿宋_GB2312" w:cs="仿宋_GB2312"/>
          <w:color w:val="000000"/>
          <w:szCs w:val="32"/>
        </w:rPr>
        <w:t>。</w:t>
      </w:r>
      <w:r>
        <w:rPr>
          <w:rFonts w:hint="eastAsia" w:ascii="仿宋_GB2312" w:hAnsi="仿宋_GB2312" w:cs="仿宋_GB2312"/>
          <w:color w:val="000000"/>
          <w:szCs w:val="32"/>
        </w:rPr>
        <w:t>重点培育产业、物流、汽车、房产、信息咨询、科技等中介服务行业，提升发展会计、审计、法律、咨询、评估、代理、劳务等生产性中介服务业，形成与城市功能、产业结构和市场需求相适应的门类齐全、诚信规范的中介服务</w:t>
      </w:r>
      <w:r>
        <w:rPr>
          <w:rFonts w:ascii="仿宋_GB2312" w:hAnsi="仿宋_GB2312" w:cs="仿宋_GB2312"/>
          <w:color w:val="000000"/>
          <w:szCs w:val="32"/>
        </w:rPr>
        <w:t>。</w:t>
      </w:r>
      <w:r>
        <w:rPr>
          <w:rFonts w:hint="eastAsia" w:ascii="仿宋_GB2312" w:hAnsi="仿宋_GB2312" w:cs="仿宋_GB2312"/>
          <w:color w:val="000000"/>
          <w:szCs w:val="32"/>
        </w:rPr>
        <w:t>加快发展职业技能培训、文化艺术培训、社区健康培训、网络远程培训、终身职业培训等教育培训消费，支持在城市商圈及社区开设教育培训、文化艺术培训、儿童才艺培训等培训机构，搭建文化教育培训一体化平台和体验性中心。发展</w:t>
      </w:r>
      <w:r>
        <w:rPr>
          <w:rFonts w:ascii="仿宋_GB2312" w:hAnsi="仿宋_GB2312" w:cs="仿宋_GB2312"/>
          <w:color w:val="000000"/>
          <w:szCs w:val="32"/>
        </w:rPr>
        <w:t>家政服务</w:t>
      </w:r>
      <w:r>
        <w:rPr>
          <w:rFonts w:hint="eastAsia" w:ascii="仿宋_GB2312" w:hAnsi="仿宋_GB2312" w:cs="仿宋_GB2312"/>
          <w:color w:val="000000"/>
          <w:szCs w:val="32"/>
        </w:rPr>
        <w:t>业</w:t>
      </w:r>
      <w:r>
        <w:rPr>
          <w:rFonts w:ascii="仿宋_GB2312" w:hAnsi="仿宋_GB2312" w:cs="仿宋_GB2312"/>
          <w:color w:val="000000"/>
          <w:szCs w:val="32"/>
        </w:rPr>
        <w:t>，创新家政服务培训内容，加强家政培训提升，实施家政品牌培育计划。</w:t>
      </w:r>
    </w:p>
    <w:p>
      <w:pPr>
        <w:pStyle w:val="43"/>
        <w:spacing w:beforeLines="50" w:afterLines="50"/>
        <w:rPr>
          <w:color w:val="000000"/>
          <w:szCs w:val="32"/>
        </w:rPr>
      </w:pPr>
      <w:bookmarkStart w:id="79" w:name="_Toc62991745"/>
      <w:bookmarkStart w:id="80" w:name="_Toc21595"/>
      <w:r>
        <w:rPr>
          <w:rFonts w:hint="eastAsia"/>
          <w:b/>
          <w:bCs/>
          <w:color w:val="000000"/>
          <w:sz w:val="36"/>
          <w:szCs w:val="36"/>
        </w:rPr>
        <w:t>第八节  推动服务业融合发展</w:t>
      </w:r>
      <w:bookmarkEnd w:id="79"/>
      <w:bookmarkEnd w:id="80"/>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促进服务业与农业融合，以信息、金融、农业科技、市场营销为重点，拓展农业产业化产前、产中、产后各个环节的生产性服务需求，推动现代农业转型升级。促进服务业与制造业融合，推动制造企业向创意孵化、研发设计、售后服务等产业链两端延伸，鼓励制造企业优化供应链管理，推动网络化协同，发展服务型制造。促进服务业内部融合，鼓励基于互联网的教育、健康、养老、旅游、文化、物流等融合发展。加快服务业集聚发展，在现代物流、创意产业、电子商务、现代专业交易市场、综合型服务、旅游休闲、健康养生等产业领域，积极培育产业集聚发展。</w:t>
      </w:r>
    </w:p>
    <w:p>
      <w:pPr>
        <w:pStyle w:val="42"/>
        <w:spacing w:beforeLines="50" w:afterLines="50"/>
        <w:rPr>
          <w:b w:val="0"/>
          <w:bCs/>
          <w:color w:val="000000"/>
          <w:szCs w:val="32"/>
        </w:rPr>
      </w:pPr>
      <w:bookmarkStart w:id="81" w:name="_Toc62991746"/>
      <w:bookmarkStart w:id="82" w:name="_Toc6830"/>
      <w:r>
        <w:rPr>
          <w:rFonts w:hint="eastAsia"/>
          <w:b w:val="0"/>
          <w:bCs/>
          <w:color w:val="000000"/>
          <w:szCs w:val="32"/>
        </w:rPr>
        <w:t>第四章  建设产业高质量发展载体</w:t>
      </w:r>
      <w:bookmarkEnd w:id="49"/>
      <w:bookmarkEnd w:id="81"/>
      <w:bookmarkEnd w:id="82"/>
    </w:p>
    <w:p>
      <w:pPr>
        <w:pStyle w:val="29"/>
        <w:spacing w:line="580" w:lineRule="exact"/>
        <w:ind w:firstLine="640"/>
        <w:rPr>
          <w:rFonts w:hint="eastAsia" w:ascii="仿宋_GB2312" w:hAnsi="仿宋_GB2312" w:cs="仿宋_GB2312"/>
          <w:color w:val="000000"/>
          <w:szCs w:val="32"/>
        </w:rPr>
      </w:pPr>
      <w:r>
        <w:rPr>
          <w:rFonts w:hint="eastAsia" w:ascii="仿宋_GB2312" w:hAnsi="仿宋_GB2312" w:cs="仿宋_GB2312"/>
          <w:color w:val="000000"/>
          <w:szCs w:val="32"/>
        </w:rPr>
        <w:t>围绕构建现代产业体系的发展要求，坚持规模化、集约化发展原则，将园区建设作为产业高质量发展的重要载体和抓手，盘活园区资源，培育产业生态，集聚要素供给，提振产业发展质量。</w:t>
      </w:r>
    </w:p>
    <w:p>
      <w:pPr>
        <w:pStyle w:val="43"/>
        <w:spacing w:afterLines="50"/>
        <w:rPr>
          <w:b/>
          <w:bCs/>
          <w:color w:val="000000"/>
          <w:sz w:val="36"/>
          <w:szCs w:val="36"/>
        </w:rPr>
      </w:pPr>
      <w:bookmarkStart w:id="83" w:name="_Toc62991747"/>
      <w:bookmarkStart w:id="84" w:name="_Toc29938"/>
      <w:bookmarkStart w:id="85" w:name="_Toc19132"/>
      <w:bookmarkStart w:id="86" w:name="_Toc20409"/>
      <w:r>
        <w:rPr>
          <w:rFonts w:hint="eastAsia"/>
          <w:b/>
          <w:bCs/>
          <w:color w:val="000000"/>
          <w:sz w:val="36"/>
          <w:szCs w:val="36"/>
        </w:rPr>
        <w:t>第一节  全面提升制造业园区建设</w:t>
      </w:r>
      <w:bookmarkEnd w:id="83"/>
      <w:bookmarkEnd w:id="84"/>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把握集聚区从“创建”向“创新发展”转变、从“粗放型发展”向“高质量发展”跨越的“二次创业”重要战略机遇期，坚持高起点站位、高标准建设、高效率引领。着力合理优化布局、健全体制机制、完善配套设施、吸引高端要素、激发创新活力、推进产城融合，完善“管委会+公司”开发运营模式，全面提升产业集聚区的集聚能力。贯彻落实《河南省产业集聚区百园增效行动方案》，出台县产业集聚区提质增效实施方案，突出抓好亩均产出提高，实施低效闲置土地处置行动计划，开展企业分类综合评价，落实企业A、B、C差别化政策，持续强化“五种模式”扶持、处置措施，倒逼落后产能和低效资产退出，实现节地水平、产出效益双提升。抢抓全省产业集聚区规划修编机遇，全面推进“区中园”建设。支持高低压电气、环保包装产业园做大做强，加快大数据及</w:t>
      </w:r>
      <w:r>
        <w:rPr>
          <w:rFonts w:hint="eastAsia" w:ascii="仿宋_GB2312" w:hAnsi="仿宋_GB2312" w:cs="仿宋_GB2312"/>
          <w:color w:val="000000"/>
          <w:spacing w:val="-6"/>
          <w:szCs w:val="32"/>
        </w:rPr>
        <w:t>智惠产业创新城的建设，谋划布局建设新兴产业园、双创产业园等区中园。巩固发展铁锅产业园、陶瓷产业园、循环经济产业园等专业园区。围绕省市制造业高质量发展方向，加大招商引资力度，积极培育新兴产业，为承接产业转移营建良好载体，为持续推动郏县制造业高质量发展夯</w:t>
      </w:r>
      <w:r>
        <w:rPr>
          <w:rFonts w:hint="eastAsia" w:ascii="仿宋_GB2312" w:hAnsi="仿宋_GB2312" w:cs="仿宋_GB2312"/>
          <w:color w:val="000000"/>
          <w:szCs w:val="32"/>
        </w:rPr>
        <w:t>实产业基础。</w:t>
      </w:r>
    </w:p>
    <w:tbl>
      <w:tblPr>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rPr>
          <w:trHeight w:val="473" w:hRule="atLeast"/>
        </w:trPr>
        <w:tc>
          <w:tcPr>
            <w:tcW w:w="8240" w:type="dxa"/>
            <w:tcBorders>
              <w:top w:val="single" w:color="auto" w:sz="4" w:space="0"/>
              <w:left w:val="single" w:color="auto" w:sz="4" w:space="0"/>
              <w:bottom w:val="single" w:color="auto" w:sz="4" w:space="0"/>
              <w:right w:val="single" w:color="auto" w:sz="4" w:space="0"/>
            </w:tcBorders>
            <w:vAlign w:val="top"/>
          </w:tcPr>
          <w:p>
            <w:pPr>
              <w:pStyle w:val="3"/>
              <w:spacing w:line="400" w:lineRule="exact"/>
              <w:jc w:val="center"/>
              <w:rPr>
                <w:rFonts w:ascii="仿宋_GB2312" w:hAnsi="楷体" w:eastAsia="仿宋_GB2312" w:cs="仿宋"/>
                <w:color w:val="000000"/>
                <w:kern w:val="0"/>
                <w:sz w:val="24"/>
                <w:szCs w:val="24"/>
              </w:rPr>
            </w:pPr>
            <w:r>
              <w:rPr>
                <w:rFonts w:hint="eastAsia" w:ascii="仿宋_GB2312" w:hAnsi="楷体" w:eastAsia="仿宋_GB2312" w:cs="仿宋"/>
                <w:b/>
                <w:bCs/>
                <w:color w:val="000000"/>
                <w:kern w:val="0"/>
                <w:sz w:val="24"/>
                <w:szCs w:val="24"/>
              </w:rPr>
              <w:t>专栏</w:t>
            </w:r>
            <w:r>
              <w:rPr>
                <w:rFonts w:ascii="仿宋_GB2312" w:hAnsi="楷体" w:eastAsia="仿宋_GB2312" w:cs="仿宋"/>
                <w:b/>
                <w:bCs/>
                <w:color w:val="000000"/>
                <w:kern w:val="0"/>
                <w:sz w:val="24"/>
                <w:szCs w:val="24"/>
              </w:rPr>
              <w:t>8</w:t>
            </w:r>
            <w:r>
              <w:rPr>
                <w:rFonts w:hint="eastAsia" w:ascii="仿宋_GB2312" w:hAnsi="楷体" w:eastAsia="仿宋_GB2312" w:cs="仿宋"/>
                <w:b/>
                <w:bCs/>
                <w:color w:val="000000"/>
                <w:kern w:val="0"/>
                <w:sz w:val="24"/>
                <w:szCs w:val="24"/>
              </w:rPr>
              <w:t>：制造业园区建设重点项目</w:t>
            </w:r>
          </w:p>
        </w:tc>
      </w:tr>
      <w:tr>
        <w:tc>
          <w:tcPr>
            <w:tcW w:w="8240" w:type="dxa"/>
            <w:tcBorders>
              <w:top w:val="single" w:color="auto" w:sz="4" w:space="0"/>
              <w:left w:val="single" w:color="auto" w:sz="4" w:space="0"/>
              <w:bottom w:val="single" w:color="auto" w:sz="4" w:space="0"/>
              <w:right w:val="single" w:color="auto" w:sz="4" w:space="0"/>
            </w:tcBorders>
            <w:vAlign w:val="top"/>
          </w:tcPr>
          <w:p>
            <w:pPr>
              <w:widowControl/>
              <w:spacing w:line="400" w:lineRule="exact"/>
              <w:ind w:firstLine="480" w:firstLineChars="200"/>
              <w:rPr>
                <w:rFonts w:ascii="仿宋_GB2312" w:hAnsi="楷体" w:eastAsia="仿宋_GB2312" w:cs="仿宋"/>
                <w:color w:val="000000"/>
                <w:kern w:val="0"/>
                <w:sz w:val="24"/>
              </w:rPr>
            </w:pPr>
            <w:r>
              <w:rPr>
                <w:rFonts w:hint="eastAsia" w:ascii="仿宋_GB2312" w:hAnsi="楷体" w:eastAsia="仿宋_GB2312" w:cs="仿宋"/>
                <w:bCs/>
                <w:color w:val="000000"/>
                <w:kern w:val="0"/>
                <w:sz w:val="24"/>
              </w:rPr>
              <w:t>重点实施电气装备产业园、环保包装专业园、平煤机配套机械制造产业园、食品加工产业园等园区建设。重点实施引汝河水入园区工程、产业集聚区道路亮化绿化工程、产业集聚区生活垃圾分类收集转运项目</w:t>
            </w:r>
            <w:r>
              <w:rPr>
                <w:rFonts w:hint="eastAsia" w:ascii="仿宋_GB2312" w:hAnsi="楷体" w:eastAsia="仿宋_GB2312" w:cs="仿宋"/>
                <w:bCs/>
                <w:color w:val="000000"/>
                <w:kern w:val="0"/>
                <w:sz w:val="24"/>
                <w:lang w:eastAsia="zh-CN"/>
              </w:rPr>
              <w:t>，</w:t>
            </w:r>
            <w:r>
              <w:rPr>
                <w:rFonts w:hint="eastAsia" w:ascii="仿宋_GB2312" w:hAnsi="楷体" w:eastAsia="仿宋_GB2312" w:cs="仿宋"/>
                <w:bCs/>
                <w:color w:val="000000"/>
                <w:kern w:val="0"/>
                <w:sz w:val="24"/>
              </w:rPr>
              <w:t>铁锅产业园、陶瓷园区、循环经济产业园基础设施建设项目。</w:t>
            </w:r>
          </w:p>
        </w:tc>
      </w:tr>
    </w:tbl>
    <w:p>
      <w:pPr>
        <w:pStyle w:val="29"/>
        <w:spacing w:line="580" w:lineRule="exact"/>
        <w:ind w:firstLine="640"/>
        <w:rPr>
          <w:rFonts w:ascii="仿宋_GB2312" w:hAnsi="仿宋_GB2312" w:cs="仿宋_GB2312"/>
          <w:color w:val="000000"/>
          <w:szCs w:val="32"/>
        </w:rPr>
      </w:pPr>
    </w:p>
    <w:p>
      <w:pPr>
        <w:pStyle w:val="43"/>
        <w:spacing w:afterLines="50"/>
        <w:rPr>
          <w:b/>
          <w:bCs/>
          <w:color w:val="000000"/>
          <w:sz w:val="36"/>
          <w:szCs w:val="36"/>
        </w:rPr>
      </w:pPr>
      <w:bookmarkStart w:id="87" w:name="_Toc62991748"/>
      <w:bookmarkStart w:id="88" w:name="_Toc21467"/>
      <w:r>
        <w:rPr>
          <w:rFonts w:hint="eastAsia"/>
          <w:b/>
          <w:bCs/>
          <w:color w:val="000000"/>
          <w:sz w:val="36"/>
          <w:szCs w:val="36"/>
        </w:rPr>
        <w:t>第二节  加强服务业园区建设</w:t>
      </w:r>
      <w:bookmarkEnd w:id="87"/>
      <w:bookmarkEnd w:id="88"/>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依托郏县商务中心区、科技创新专业园区，大力发展总部经济、楼宇经济、科技信息服务、信息咨询、文化创意、电子商务、人工智能等，突出新兴科技产业和产品研发功能，推动生产性服务业集聚发展，促进产业、城市、生态功能协调，力争形成区域高端的商务服务平台和科技创新的集聚平台。到2025年，商务中心区力争达到入驻服务业企业260家以上，规模以上服务业企业75家以上，服务业营业收入50亿元以上，从业人员1.5万人以上，实现固定资产投入25亿元以上，税收收入1.5亿元以上。</w:t>
      </w:r>
    </w:p>
    <w:p>
      <w:pPr>
        <w:pStyle w:val="41"/>
        <w:spacing w:beforeLines="100" w:afterLines="100" w:line="580" w:lineRule="exact"/>
        <w:rPr>
          <w:rFonts w:hint="eastAsia" w:ascii="方正小标宋_GBK" w:hAnsi="方正小标宋_GBK" w:eastAsia="方正小标宋_GBK" w:cs="方正小标宋_GBK"/>
          <w:b w:val="0"/>
          <w:color w:val="000000"/>
          <w:sz w:val="32"/>
          <w:szCs w:val="32"/>
        </w:rPr>
      </w:pPr>
      <w:bookmarkStart w:id="89" w:name="_Toc62406480"/>
      <w:bookmarkStart w:id="90" w:name="_Toc62991749"/>
      <w:bookmarkStart w:id="91" w:name="_Toc19891"/>
      <w:r>
        <w:rPr>
          <w:rFonts w:hint="eastAsia" w:ascii="方正小标宋_GBK" w:hAnsi="方正小标宋_GBK" w:eastAsia="方正小标宋_GBK" w:cs="方正小标宋_GBK"/>
          <w:b w:val="0"/>
          <w:color w:val="000000"/>
          <w:sz w:val="32"/>
          <w:szCs w:val="32"/>
        </w:rPr>
        <w:t>第四篇  深入推进</w:t>
      </w:r>
      <w:bookmarkEnd w:id="89"/>
      <w:r>
        <w:rPr>
          <w:rFonts w:hint="eastAsia" w:ascii="方正小标宋_GBK" w:hAnsi="方正小标宋_GBK" w:eastAsia="方正小标宋_GBK" w:cs="方正小标宋_GBK"/>
          <w:b w:val="0"/>
          <w:color w:val="000000"/>
          <w:sz w:val="32"/>
          <w:szCs w:val="32"/>
        </w:rPr>
        <w:t>新型城镇化，</w:t>
      </w:r>
      <w:bookmarkEnd w:id="90"/>
      <w:r>
        <w:rPr>
          <w:rFonts w:hint="eastAsia" w:ascii="方正小标宋_GBK" w:hAnsi="方正小标宋_GBK" w:eastAsia="方正小标宋_GBK" w:cs="方正小标宋_GBK"/>
          <w:b w:val="0"/>
          <w:color w:val="000000"/>
          <w:sz w:val="32"/>
          <w:szCs w:val="32"/>
        </w:rPr>
        <w:t>构建高质量发展新支撑</w:t>
      </w:r>
      <w:bookmarkEnd w:id="91"/>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坚持“城乡贯通、城乡统筹、城乡融合、城乡一体”，实施以促进人的城镇化为核心、提高质量为导向的县域新型城镇化战略，突出产城融合和功能复合，推进中心城区扩容提质，实现新型城镇化与乡村振兴互动的城乡融合发展新格局，努力创建全国县域新型城镇化示范县。到2025年，“十四五”期间平均每年提高1</w:t>
      </w:r>
      <w:r>
        <w:rPr>
          <w:rFonts w:hint="eastAsia" w:ascii="仿宋_GB2312" w:hAnsi="仿宋_GB2312" w:cs="仿宋_GB2312"/>
          <w:color w:val="000000"/>
          <w:szCs w:val="32"/>
          <w:lang w:val="en-US" w:eastAsia="zh-CN"/>
        </w:rPr>
        <w:t>.5</w:t>
      </w:r>
      <w:r>
        <w:rPr>
          <w:rFonts w:hint="eastAsia" w:ascii="仿宋_GB2312" w:hAnsi="仿宋_GB2312" w:cs="仿宋_GB2312"/>
          <w:color w:val="000000"/>
          <w:szCs w:val="32"/>
        </w:rPr>
        <w:t>个百分点以上。</w:t>
      </w:r>
    </w:p>
    <w:p>
      <w:pPr>
        <w:pStyle w:val="42"/>
        <w:spacing w:beforeLines="50" w:afterLines="50"/>
        <w:rPr>
          <w:b w:val="0"/>
          <w:bCs/>
          <w:color w:val="000000"/>
          <w:szCs w:val="32"/>
        </w:rPr>
      </w:pPr>
      <w:bookmarkStart w:id="92" w:name="_Toc62991750"/>
      <w:bookmarkStart w:id="93" w:name="_Toc62406481"/>
      <w:bookmarkStart w:id="94" w:name="_Toc15713"/>
      <w:r>
        <w:rPr>
          <w:rFonts w:hint="eastAsia"/>
          <w:b w:val="0"/>
          <w:bCs/>
          <w:color w:val="000000"/>
          <w:szCs w:val="32"/>
        </w:rPr>
        <w:t>第一章  优化国土空间布局</w:t>
      </w:r>
      <w:bookmarkEnd w:id="92"/>
      <w:bookmarkEnd w:id="93"/>
      <w:bookmarkEnd w:id="94"/>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科学划定</w:t>
      </w:r>
      <w:r>
        <w:rPr>
          <w:rFonts w:ascii="仿宋_GB2312" w:hAnsi="仿宋_GB2312" w:cs="仿宋_GB2312"/>
          <w:color w:val="000000"/>
          <w:szCs w:val="32"/>
        </w:rPr>
        <w:t>“</w:t>
      </w:r>
      <w:r>
        <w:rPr>
          <w:rFonts w:hint="eastAsia" w:ascii="仿宋_GB2312" w:hAnsi="仿宋_GB2312" w:cs="仿宋_GB2312"/>
          <w:color w:val="000000"/>
          <w:szCs w:val="32"/>
        </w:rPr>
        <w:t>三区三线</w:t>
      </w:r>
      <w:r>
        <w:rPr>
          <w:rFonts w:ascii="仿宋_GB2312" w:hAnsi="仿宋_GB2312" w:cs="仿宋_GB2312"/>
          <w:color w:val="000000"/>
          <w:szCs w:val="32"/>
        </w:rPr>
        <w:t>”</w:t>
      </w:r>
      <w:r>
        <w:rPr>
          <w:rFonts w:hint="eastAsia" w:ascii="仿宋_GB2312" w:hAnsi="仿宋_GB2312" w:cs="仿宋_GB2312"/>
          <w:color w:val="000000"/>
          <w:szCs w:val="32"/>
        </w:rPr>
        <w:t>，进一步优化国土空间布局，推动城市拥河发展，为做大做强县城龙头留足空间。全面落实国土空间规划纲要，推动总体规划与专项规划和控制性详细规划有机衔接。把尊重自然、保护生态融入发展全过程，加快形成资源利用高效、生态环境友好的国土空间发展格局。</w:t>
      </w:r>
    </w:p>
    <w:p>
      <w:pPr>
        <w:pStyle w:val="43"/>
        <w:spacing w:beforeLines="50" w:afterLines="50"/>
        <w:rPr>
          <w:b/>
          <w:bCs/>
          <w:color w:val="000000"/>
          <w:sz w:val="36"/>
          <w:szCs w:val="36"/>
        </w:rPr>
      </w:pPr>
      <w:bookmarkStart w:id="95" w:name="_Toc62991751"/>
      <w:bookmarkStart w:id="96" w:name="_Toc62406482"/>
      <w:bookmarkStart w:id="97" w:name="_Toc13286"/>
      <w:r>
        <w:rPr>
          <w:rFonts w:hint="eastAsia"/>
          <w:b/>
          <w:bCs/>
          <w:color w:val="000000"/>
          <w:sz w:val="36"/>
          <w:szCs w:val="36"/>
        </w:rPr>
        <w:t>第一节  打造集约高效生产空间</w:t>
      </w:r>
      <w:bookmarkEnd w:id="95"/>
      <w:bookmarkEnd w:id="96"/>
      <w:bookmarkEnd w:id="97"/>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加强农业粮食生产功能区和重要农产品生产保护区建设，创建特色农产品优势区，科学布局养殖业适养、限养、禁养区域。引导工业向产业集聚区、铁锅产业园、陶瓷产业园、循环经济产业园“一区三园”集中。因地制宜布局农产品交易市场、农机交易市场、商贸物流配送中心、电商产业园区等。</w:t>
      </w:r>
    </w:p>
    <w:p>
      <w:pPr>
        <w:pStyle w:val="43"/>
        <w:spacing w:beforeLines="50" w:afterLines="50"/>
        <w:rPr>
          <w:b/>
          <w:bCs/>
          <w:color w:val="000000"/>
          <w:sz w:val="36"/>
          <w:szCs w:val="36"/>
        </w:rPr>
      </w:pPr>
      <w:bookmarkStart w:id="98" w:name="_Toc10264"/>
      <w:bookmarkStart w:id="99" w:name="_Toc62406483"/>
      <w:bookmarkStart w:id="100" w:name="_Toc62991752"/>
      <w:r>
        <w:rPr>
          <w:rFonts w:hint="eastAsia"/>
          <w:b/>
          <w:bCs/>
          <w:color w:val="000000"/>
          <w:sz w:val="36"/>
          <w:szCs w:val="36"/>
        </w:rPr>
        <w:t>第二节  营造舒适宜居生活空间</w:t>
      </w:r>
      <w:bookmarkEnd w:id="98"/>
      <w:bookmarkEnd w:id="99"/>
      <w:bookmarkEnd w:id="100"/>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以城区为中心，打造产城融合、产业集聚、功能合理、生态低碳的城市。着力完善供水、污水垃圾处理、供电、通信、公共服务等配套设施，适当增加旅游、休闲等服务设施。建立健全长效管护机制，构建便捷的生活圈、完善的服务圈、繁荣的商业圈，满足居民现代化、人性化、多样性需求。</w:t>
      </w:r>
    </w:p>
    <w:p>
      <w:pPr>
        <w:pStyle w:val="43"/>
        <w:spacing w:beforeLines="50" w:afterLines="50" w:line="600" w:lineRule="exact"/>
        <w:rPr>
          <w:b/>
          <w:bCs/>
          <w:color w:val="000000"/>
          <w:sz w:val="36"/>
          <w:szCs w:val="36"/>
        </w:rPr>
      </w:pPr>
      <w:bookmarkStart w:id="101" w:name="_Toc62406484"/>
      <w:bookmarkStart w:id="102" w:name="_Toc62991753"/>
      <w:bookmarkStart w:id="103" w:name="_Toc2797"/>
      <w:r>
        <w:rPr>
          <w:rFonts w:hint="eastAsia"/>
          <w:b/>
          <w:bCs/>
          <w:color w:val="000000"/>
          <w:sz w:val="36"/>
          <w:szCs w:val="36"/>
        </w:rPr>
        <w:t>第三节  构建全域绿色生态空间</w:t>
      </w:r>
      <w:bookmarkEnd w:id="101"/>
      <w:bookmarkEnd w:id="102"/>
      <w:bookmarkEnd w:id="103"/>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以绿色发展为引领，构建“一核、两区、两带、蓝绿纵横”的县域生态景观格局。重点加强现状铁路、高速公路、国道和省道及周边缓冲绿带建设，持续推进渠河湖水系连通工程，加大对生态安全具有重要影响的森林、河流、水库、湿地等重要生态空间保护。</w:t>
      </w:r>
    </w:p>
    <w:p>
      <w:pPr>
        <w:pStyle w:val="42"/>
        <w:spacing w:beforeLines="50" w:afterLines="50"/>
        <w:rPr>
          <w:b w:val="0"/>
          <w:bCs/>
          <w:color w:val="000000"/>
          <w:szCs w:val="32"/>
        </w:rPr>
      </w:pPr>
      <w:bookmarkStart w:id="104" w:name="_Toc4129"/>
      <w:bookmarkStart w:id="105" w:name="_Toc62406485"/>
      <w:bookmarkStart w:id="106" w:name="_Toc62991754"/>
      <w:r>
        <w:rPr>
          <w:rFonts w:hint="eastAsia"/>
          <w:b w:val="0"/>
          <w:bCs/>
          <w:color w:val="000000"/>
          <w:szCs w:val="32"/>
        </w:rPr>
        <w:t>第二章  提升城市品质</w:t>
      </w:r>
      <w:bookmarkEnd w:id="104"/>
      <w:bookmarkEnd w:id="105"/>
      <w:bookmarkEnd w:id="106"/>
    </w:p>
    <w:p>
      <w:pPr>
        <w:pStyle w:val="29"/>
        <w:spacing w:line="580" w:lineRule="exact"/>
        <w:ind w:firstLine="640"/>
        <w:rPr>
          <w:rFonts w:ascii="仿宋_GB2312" w:hAnsi="仿宋_GB2312" w:cs="仿宋_GB2312"/>
          <w:color w:val="000000"/>
          <w:szCs w:val="32"/>
        </w:rPr>
      </w:pPr>
      <w:r>
        <w:rPr>
          <w:rFonts w:hint="eastAsia" w:hAnsi="仿宋_GB2312"/>
          <w:bCs/>
          <w:color w:val="000000"/>
          <w:szCs w:val="32"/>
        </w:rPr>
        <w:t>以城市创建为引领，以百城建设提质为抓手，</w:t>
      </w:r>
      <w:r>
        <w:rPr>
          <w:rFonts w:hint="eastAsia" w:ascii="仿宋_GB2312" w:hAnsi="仿宋_GB2312" w:cs="仿宋_GB2312"/>
          <w:color w:val="000000"/>
          <w:szCs w:val="32"/>
        </w:rPr>
        <w:t>推进中心城区强弱项、补短板，建设宜居城市、智慧城市和韧性城市，</w:t>
      </w:r>
      <w:r>
        <w:rPr>
          <w:rFonts w:hint="eastAsia" w:hAnsi="仿宋_GB2312"/>
          <w:bCs/>
          <w:color w:val="000000"/>
          <w:szCs w:val="32"/>
        </w:rPr>
        <w:t>全面提升县城综合承载能力、辐射力、带动力、影响力</w:t>
      </w:r>
      <w:r>
        <w:rPr>
          <w:rFonts w:hint="eastAsia" w:ascii="仿宋_GB2312" w:hAnsi="仿宋_GB2312" w:cs="仿宋_GB2312"/>
          <w:color w:val="000000"/>
          <w:szCs w:val="32"/>
        </w:rPr>
        <w:t>。到“十四五”末，城区常住人口达到24.5万人，争创国家生态园林城市、国家历史文化名城和全国文明城市。</w:t>
      </w:r>
    </w:p>
    <w:p>
      <w:pPr>
        <w:pStyle w:val="43"/>
        <w:spacing w:beforeLines="50" w:afterLines="50"/>
        <w:rPr>
          <w:rFonts w:hAnsi="楷体_GB2312" w:cs="楷体_GB2312"/>
          <w:b/>
          <w:bCs/>
          <w:color w:val="000000"/>
          <w:sz w:val="36"/>
          <w:szCs w:val="36"/>
        </w:rPr>
      </w:pPr>
      <w:bookmarkStart w:id="107" w:name="_Toc62991755"/>
      <w:bookmarkStart w:id="108" w:name="_Toc62406486"/>
      <w:bookmarkStart w:id="109" w:name="_Toc29600"/>
      <w:r>
        <w:rPr>
          <w:rFonts w:hint="eastAsia" w:hAnsi="楷体_GB2312" w:cs="楷体_GB2312"/>
          <w:b/>
          <w:bCs/>
          <w:color w:val="000000"/>
          <w:sz w:val="36"/>
          <w:szCs w:val="36"/>
        </w:rPr>
        <w:t>第一节  建设宜居城市</w:t>
      </w:r>
      <w:bookmarkEnd w:id="107"/>
      <w:bookmarkEnd w:id="108"/>
      <w:bookmarkEnd w:id="109"/>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推进城市</w:t>
      </w:r>
      <w:r>
        <w:rPr>
          <w:rFonts w:hint="eastAsia" w:ascii="仿宋_GB2312" w:hAnsi="仿宋_GB2312" w:cs="仿宋_GB2312"/>
          <w:color w:val="000000"/>
          <w:spacing w:val="-6"/>
          <w:szCs w:val="32"/>
        </w:rPr>
        <w:t>更新，完善提升城市基础</w:t>
      </w:r>
      <w:r>
        <w:rPr>
          <w:rFonts w:hint="eastAsia" w:ascii="仿宋_GB2312" w:hAnsi="仿宋_GB2312" w:cs="仿宋_GB2312"/>
          <w:color w:val="000000"/>
          <w:szCs w:val="32"/>
        </w:rPr>
        <w:t>设施和公共服务设施，塑造城市风貌，实施棚户区改造、医养结合、道路畅通、城区生态水系、文庙及山陕庙保护开发等工程，打造充满活力、独具特色的美丽宜居县城。</w:t>
      </w:r>
    </w:p>
    <w:p>
      <w:pPr>
        <w:pStyle w:val="29"/>
        <w:ind w:firstLine="643"/>
        <w:rPr>
          <w:rFonts w:ascii="仿宋_GB2312" w:hAnsi="仿宋_GB2312" w:cs="仿宋_GB2312"/>
          <w:color w:val="000000"/>
          <w:szCs w:val="32"/>
        </w:rPr>
      </w:pPr>
      <w:r>
        <w:rPr>
          <w:rFonts w:hint="eastAsia" w:ascii="楷体_GB2312" w:hAnsi="楷体_GB2312" w:eastAsia="楷体_GB2312" w:cs="楷体_GB2312"/>
          <w:b/>
          <w:bCs/>
          <w:color w:val="000000"/>
          <w:szCs w:val="32"/>
        </w:rPr>
        <w:t>持续推进百城提质。</w:t>
      </w:r>
      <w:r>
        <w:rPr>
          <w:rFonts w:hint="eastAsia" w:ascii="仿宋_GB2312" w:hAnsi="仿宋_GB2312" w:cs="仿宋_GB2312"/>
          <w:color w:val="000000"/>
          <w:szCs w:val="32"/>
        </w:rPr>
        <w:t>加快推进中心城区生态水系和绿地系统建设，实施青龙湖公园二期、北汝河湿地公园、水系公园、</w:t>
      </w:r>
      <w:r>
        <w:rPr>
          <w:rFonts w:hint="eastAsia" w:hAnsi="仿宋_GB2312"/>
          <w:bCs/>
          <w:color w:val="000000"/>
          <w:szCs w:val="32"/>
        </w:rPr>
        <w:t>八一公园</w:t>
      </w:r>
      <w:r>
        <w:rPr>
          <w:rFonts w:hint="eastAsia" w:ascii="仿宋_GB2312" w:hAnsi="仿宋_GB2312" w:cs="仿宋_GB2312"/>
          <w:color w:val="000000"/>
          <w:szCs w:val="32"/>
        </w:rPr>
        <w:t>建设工程和一批城区绿地游园、立体绿化、屋顶绿化工程，以水“润”城、以绿“荫”城，建设“城在林中、房在绿中、道在景中、人在园中”的美丽郏县。实施历史文化名城保护工程，加快西关、衙署、户部巷、南街、学署、六合门、东城门、西城角、常平仓八大历史文化街区的保护、修复和环境整治，</w:t>
      </w:r>
      <w:r>
        <w:rPr>
          <w:rFonts w:hint="eastAsia" w:hAnsi="仿宋_GB2312"/>
          <w:bCs/>
          <w:color w:val="000000"/>
          <w:szCs w:val="32"/>
        </w:rPr>
        <w:t>推进文旅融合，建设郏县旅游城市核心景区，打造历史文化古城。</w:t>
      </w:r>
      <w:r>
        <w:rPr>
          <w:rFonts w:hint="eastAsia" w:ascii="仿宋_GB2312" w:hAnsi="仿宋_GB2312" w:cs="仿宋_GB2312"/>
          <w:color w:val="000000"/>
          <w:szCs w:val="32"/>
        </w:rPr>
        <w:t>围绕彰显城墙文化、历史人物马遂、历史记忆梨园坑等建设郏城遗址公园</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结合北大街古墓群保护</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建设郏县古墓遗址公园</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依托两大遗址公园建设考古研学基地。完成经二路北安置区、“祥云”二期安置区安置房建设工程，加快推进南大街南安置区、友谊路安置区基础配套设施建设，构建以</w:t>
      </w:r>
      <w:r>
        <w:rPr>
          <w:rFonts w:hint="eastAsia" w:hAnsi="仿宋_GB2312"/>
          <w:bCs/>
          <w:color w:val="000000"/>
          <w:szCs w:val="32"/>
        </w:rPr>
        <w:t>公租房、廉租房、经济适用房、棚改安置房等为主体的住房保障体系</w:t>
      </w:r>
      <w:r>
        <w:rPr>
          <w:rFonts w:hint="eastAsia" w:ascii="仿宋_GB2312" w:hAnsi="仿宋_GB2312" w:cs="仿宋_GB2312"/>
          <w:color w:val="000000"/>
          <w:szCs w:val="32"/>
        </w:rPr>
        <w:t>，有效增强保障性住房供应，优化配套设施和服务，促进我县住房保障从“有的住”迈向“住得好”。</w:t>
      </w:r>
      <w:r>
        <w:rPr>
          <w:rFonts w:hint="eastAsia" w:hAnsi="仿宋_GB2312"/>
          <w:bCs/>
          <w:color w:val="000000"/>
          <w:szCs w:val="32"/>
        </w:rPr>
        <w:t>完善公共服务和便民设施，</w:t>
      </w:r>
      <w:r>
        <w:rPr>
          <w:rFonts w:hint="eastAsia" w:ascii="仿宋_GB2312" w:hAnsi="仿宋_GB2312" w:cs="仿宋_GB2312"/>
          <w:color w:val="000000"/>
          <w:szCs w:val="32"/>
        </w:rPr>
        <w:t>建成市民中心和五星级酒店。加快县城夜经济圈基础设施配套</w:t>
      </w:r>
      <w:r>
        <w:rPr>
          <w:rFonts w:hint="eastAsia" w:ascii="仿宋_GB2312" w:hAnsi="仿宋_GB2312" w:cs="仿宋_GB2312"/>
          <w:color w:val="000000"/>
          <w:szCs w:val="32"/>
          <w:lang w:val="en-US" w:eastAsia="zh-CN"/>
        </w:rPr>
        <w:t>建设</w:t>
      </w:r>
      <w:r>
        <w:rPr>
          <w:rFonts w:hint="eastAsia" w:ascii="仿宋_GB2312" w:hAnsi="仿宋_GB2312" w:cs="仿宋_GB2312"/>
          <w:color w:val="000000"/>
          <w:szCs w:val="32"/>
        </w:rPr>
        <w:t>，实施体育公园、青龙湖、三馆、星辰里等区域夜经济点亮工程。</w:t>
      </w:r>
    </w:p>
    <w:p>
      <w:pPr>
        <w:pStyle w:val="29"/>
        <w:ind w:firstLine="643"/>
        <w:rPr>
          <w:rFonts w:ascii="仿宋_GB2312" w:hAnsi="仿宋_GB2312" w:cs="仿宋_GB2312"/>
          <w:color w:val="000000"/>
          <w:szCs w:val="32"/>
        </w:rPr>
      </w:pPr>
      <w:r>
        <w:rPr>
          <w:rFonts w:hint="eastAsia" w:ascii="楷体_GB2312" w:hAnsi="楷体_GB2312" w:eastAsia="楷体_GB2312" w:cs="楷体_GB2312"/>
          <w:b/>
          <w:bCs/>
          <w:color w:val="000000"/>
          <w:szCs w:val="32"/>
        </w:rPr>
        <w:t>提升完善城区基础设施。</w:t>
      </w:r>
      <w:r>
        <w:rPr>
          <w:rFonts w:hint="eastAsia" w:ascii="仿宋_GB2312" w:hAnsi="仿宋_GB2312" w:cs="仿宋_GB2312"/>
          <w:color w:val="000000"/>
          <w:szCs w:val="32"/>
        </w:rPr>
        <w:t>实施道路畅通工程，提高县城路网密度，完成龙山大道升级改造，打通文化路、行政路、凤翔大道、东坡路、八一路、北关街、建业路、迎宾大道、铫期路、高寺东路、广场西路、兴业路、南环路、广场东路、经四路等一批断头路，加强公共停车场、道路交通信号灯、各类标志标线、隔离护栏等道路配套基础设施，确保中心城区道路畅通，改善城区居民出行体验。实施环境卫生设施提级扩能行动，完成郏县生活垃圾处理封场、垃圾中转站、城区公厕等建设改造工程，全面改善中心城区环境卫生条件。实施城区民生</w:t>
      </w:r>
      <w:r>
        <w:rPr>
          <w:rFonts w:hint="eastAsia" w:ascii="仿宋_GB2312" w:hAnsi="仿宋_GB2312" w:cs="仿宋_GB2312"/>
          <w:color w:val="000000"/>
          <w:spacing w:val="-6"/>
          <w:szCs w:val="32"/>
        </w:rPr>
        <w:t>保障提档升级工程，完成供水</w:t>
      </w:r>
      <w:r>
        <w:rPr>
          <w:rFonts w:hint="eastAsia" w:ascii="仿宋_GB2312" w:hAnsi="仿宋_GB2312" w:cs="仿宋_GB2312"/>
          <w:color w:val="000000"/>
          <w:szCs w:val="32"/>
        </w:rPr>
        <w:t>管网的升级改造，推进城乡供气全覆盖，加强地热能开发利用并加快供热管网向老城区的延伸，提高民生保障能力。积极探索城市建设从平面布局转向立面布局，推进立体停车位、道路下穿、“三线”入地等项目建设。</w:t>
      </w:r>
    </w:p>
    <w:p>
      <w:pPr>
        <w:pStyle w:val="43"/>
        <w:spacing w:beforeLines="50" w:afterLines="50"/>
        <w:rPr>
          <w:b/>
          <w:bCs/>
          <w:color w:val="000000"/>
          <w:sz w:val="36"/>
          <w:szCs w:val="36"/>
        </w:rPr>
      </w:pPr>
      <w:bookmarkStart w:id="110" w:name="_Toc62991756"/>
      <w:bookmarkStart w:id="111" w:name="_Toc15168"/>
      <w:bookmarkStart w:id="112" w:name="_Toc62406487"/>
      <w:r>
        <w:rPr>
          <w:rFonts w:hint="eastAsia"/>
          <w:b/>
          <w:bCs/>
          <w:color w:val="000000"/>
          <w:sz w:val="36"/>
          <w:szCs w:val="36"/>
        </w:rPr>
        <w:t>第二节  建设智慧城市</w:t>
      </w:r>
      <w:bookmarkEnd w:id="110"/>
      <w:bookmarkEnd w:id="111"/>
      <w:bookmarkEnd w:id="112"/>
    </w:p>
    <w:p>
      <w:pPr>
        <w:pStyle w:val="29"/>
        <w:ind w:firstLine="640"/>
        <w:rPr>
          <w:rFonts w:ascii="仿宋_GB2312" w:hAnsi="仿宋_GB2312" w:cs="仿宋_GB2312"/>
          <w:color w:val="000000"/>
          <w:szCs w:val="32"/>
        </w:rPr>
      </w:pPr>
      <w:r>
        <w:rPr>
          <w:rFonts w:hint="eastAsia" w:hAnsi="仿宋_GB2312"/>
          <w:bCs/>
          <w:color w:val="000000"/>
          <w:szCs w:val="32"/>
        </w:rPr>
        <w:t>加快推进新型智慧化城市建设，以智慧政务、智慧民生、智慧生态、智慧产业建设和发展为实施主线，实施大数据工程，建设“城市大数据中心”</w:t>
      </w:r>
      <w:r>
        <w:rPr>
          <w:rFonts w:hint="eastAsia" w:hAnsi="仿宋_GB2312"/>
          <w:bCs/>
          <w:color w:val="000000"/>
          <w:szCs w:val="32"/>
          <w:lang w:eastAsia="zh-CN"/>
        </w:rPr>
        <w:t>、</w:t>
      </w:r>
      <w:r>
        <w:rPr>
          <w:rFonts w:hint="eastAsia" w:hAnsi="仿宋_GB2312"/>
          <w:bCs/>
          <w:color w:val="000000"/>
          <w:szCs w:val="32"/>
        </w:rPr>
        <w:t>“城市运营管理中心”</w:t>
      </w:r>
      <w:r>
        <w:rPr>
          <w:rFonts w:hint="eastAsia" w:hAnsi="仿宋_GB2312"/>
          <w:bCs/>
          <w:color w:val="000000"/>
          <w:szCs w:val="32"/>
          <w:lang w:eastAsia="zh-CN"/>
        </w:rPr>
        <w:t>、</w:t>
      </w:r>
      <w:r>
        <w:rPr>
          <w:rFonts w:hint="eastAsia" w:hAnsi="仿宋_GB2312"/>
          <w:bCs/>
          <w:color w:val="000000"/>
          <w:szCs w:val="32"/>
        </w:rPr>
        <w:t>“应急指挥中心”</w:t>
      </w:r>
      <w:r>
        <w:rPr>
          <w:rFonts w:hint="eastAsia" w:hAnsi="仿宋_GB2312"/>
          <w:bCs/>
          <w:color w:val="000000"/>
          <w:szCs w:val="32"/>
          <w:lang w:eastAsia="zh-CN"/>
        </w:rPr>
        <w:t>、</w:t>
      </w:r>
      <w:r>
        <w:rPr>
          <w:rFonts w:hint="eastAsia" w:hAnsi="仿宋_GB2312"/>
          <w:bCs/>
          <w:color w:val="000000"/>
          <w:szCs w:val="32"/>
        </w:rPr>
        <w:t>“大数据开放平台”。提升城市治理精细化、智能化水平，推进城市管理快捷化、精准化，建立集发现问题、立案、查处、销案为一体数字城管体系。</w:t>
      </w:r>
      <w:r>
        <w:rPr>
          <w:rFonts w:hint="eastAsia" w:ascii="仿宋_GB2312" w:hAnsi="仿宋_GB2312" w:cs="仿宋_GB2312"/>
          <w:color w:val="000000"/>
          <w:szCs w:val="32"/>
        </w:rPr>
        <w:t>推动5G网络、物联网等大规模应用，积极发展智慧交通、智慧健康、智慧教育、智慧养老、智慧气象等，推进全域5G+智慧停车、全域5G+智慧管网、全域5G+智慧文旅、全域5G+智慧校园等建设，努力营造普惠化的智慧生活。</w:t>
      </w:r>
    </w:p>
    <w:p>
      <w:pPr>
        <w:pStyle w:val="43"/>
        <w:spacing w:beforeLines="50" w:afterLines="50"/>
        <w:rPr>
          <w:b/>
          <w:bCs/>
          <w:color w:val="000000"/>
          <w:sz w:val="36"/>
          <w:szCs w:val="36"/>
        </w:rPr>
      </w:pPr>
      <w:bookmarkStart w:id="113" w:name="_Toc62991757"/>
      <w:bookmarkStart w:id="114" w:name="_Toc62406488"/>
      <w:bookmarkStart w:id="115" w:name="_Toc27581"/>
      <w:r>
        <w:rPr>
          <w:rFonts w:hint="eastAsia"/>
          <w:b/>
          <w:bCs/>
          <w:color w:val="000000"/>
          <w:sz w:val="36"/>
          <w:szCs w:val="36"/>
        </w:rPr>
        <w:t>第三节  建设韧性城市</w:t>
      </w:r>
      <w:bookmarkEnd w:id="113"/>
      <w:bookmarkEnd w:id="114"/>
      <w:bookmarkEnd w:id="115"/>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把人民生命安全和身体健康作为城市发展的基础目标，提高城市规划建设管理科学性和“多规合一”水平，增强城市防灾减灾体系和快速修复能力。</w:t>
      </w:r>
      <w:r>
        <w:rPr>
          <w:rFonts w:ascii="仿宋_GB2312" w:hAnsi="仿宋_GB2312" w:cs="仿宋_GB2312"/>
          <w:color w:val="000000"/>
          <w:szCs w:val="32"/>
        </w:rPr>
        <w:t>加强城市防洪排涝能力，完善城市排水与暴雨内涝防治体系，推进海绵城市建设，在</w:t>
      </w:r>
      <w:r>
        <w:rPr>
          <w:rFonts w:hint="eastAsia" w:ascii="仿宋_GB2312" w:hAnsi="仿宋_GB2312" w:cs="仿宋_GB2312"/>
          <w:color w:val="000000"/>
          <w:szCs w:val="32"/>
        </w:rPr>
        <w:t>东南部新城区</w:t>
      </w:r>
      <w:r>
        <w:rPr>
          <w:rFonts w:ascii="仿宋_GB2312" w:hAnsi="仿宋_GB2312" w:cs="仿宋_GB2312"/>
          <w:color w:val="000000"/>
          <w:szCs w:val="32"/>
        </w:rPr>
        <w:t>重点推广海绵型建筑与小区、海绵型道路与广场、海绵型公园和绿地等建设，实施雨污分流，科学布局建设雨水调蓄设施。全面推进综合管廊、城市绿廊、地下空间等领域建设。加快疏导点</w:t>
      </w:r>
      <w:r>
        <w:rPr>
          <w:rFonts w:hint="eastAsia" w:ascii="仿宋_GB2312" w:hAnsi="仿宋_GB2312" w:cs="仿宋_GB2312"/>
          <w:color w:val="000000"/>
          <w:szCs w:val="32"/>
        </w:rPr>
        <w:t>和重点区位人防工程</w:t>
      </w:r>
      <w:r>
        <w:rPr>
          <w:rFonts w:ascii="仿宋_GB2312" w:hAnsi="仿宋_GB2312" w:cs="仿宋_GB2312"/>
          <w:color w:val="000000"/>
          <w:szCs w:val="32"/>
        </w:rPr>
        <w:t>建设，做好公众应急预案宣传，定期组织城市应急演练。提高公共交通出行分担率，逐步提高城市承载能力。提升应对处置各类突发事件的能力水平，加强城市通风廊道建设，建设应急救灾物资储备库，完善大型公共设施平疫转换预案，全面提升老旧小区健康安全标准。</w:t>
      </w:r>
    </w:p>
    <w:p>
      <w:pPr>
        <w:pStyle w:val="42"/>
        <w:spacing w:beforeLines="50" w:afterLines="50" w:line="600" w:lineRule="exact"/>
        <w:rPr>
          <w:b w:val="0"/>
          <w:bCs/>
          <w:color w:val="000000"/>
          <w:szCs w:val="32"/>
        </w:rPr>
      </w:pPr>
      <w:bookmarkStart w:id="116" w:name="_Toc62406489"/>
      <w:bookmarkStart w:id="117" w:name="_Toc62991758"/>
      <w:bookmarkStart w:id="118" w:name="_Toc27422"/>
      <w:r>
        <w:rPr>
          <w:rFonts w:hint="eastAsia"/>
          <w:b w:val="0"/>
          <w:bCs/>
          <w:color w:val="000000"/>
          <w:szCs w:val="32"/>
        </w:rPr>
        <w:t xml:space="preserve">第三章  </w:t>
      </w:r>
      <w:bookmarkEnd w:id="116"/>
      <w:r>
        <w:rPr>
          <w:rFonts w:hint="eastAsia"/>
          <w:b w:val="0"/>
          <w:bCs/>
          <w:color w:val="000000"/>
          <w:szCs w:val="32"/>
        </w:rPr>
        <w:t>全面推进城乡融合发展</w:t>
      </w:r>
      <w:bookmarkEnd w:id="117"/>
      <w:bookmarkEnd w:id="118"/>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不断优化城乡公共服务资源配置，建立城市人才、金融、技术、资本等下乡激励政策，推动城乡要素自由流动，构建新型城乡关系，走城乡融合发展的新型城镇化道路。</w:t>
      </w:r>
    </w:p>
    <w:p>
      <w:pPr>
        <w:pStyle w:val="43"/>
        <w:spacing w:beforeLines="50" w:afterLines="50"/>
        <w:rPr>
          <w:b/>
          <w:bCs/>
          <w:color w:val="000000"/>
          <w:sz w:val="36"/>
          <w:szCs w:val="36"/>
        </w:rPr>
      </w:pPr>
      <w:bookmarkStart w:id="119" w:name="_Toc62406493"/>
      <w:bookmarkStart w:id="120" w:name="_Toc62991760"/>
      <w:bookmarkStart w:id="121" w:name="_Toc19098"/>
      <w:r>
        <w:rPr>
          <w:rFonts w:hint="eastAsia"/>
          <w:b/>
          <w:bCs/>
          <w:color w:val="000000"/>
          <w:sz w:val="36"/>
          <w:szCs w:val="36"/>
        </w:rPr>
        <w:t>第</w:t>
      </w:r>
      <w:r>
        <w:rPr>
          <w:rFonts w:hint="eastAsia"/>
          <w:b/>
          <w:bCs/>
          <w:color w:val="000000"/>
          <w:sz w:val="36"/>
          <w:szCs w:val="36"/>
          <w:lang w:eastAsia="zh-CN"/>
        </w:rPr>
        <w:t>一</w:t>
      </w:r>
      <w:r>
        <w:rPr>
          <w:rFonts w:hint="eastAsia"/>
          <w:b/>
          <w:bCs/>
          <w:color w:val="000000"/>
          <w:sz w:val="36"/>
          <w:szCs w:val="36"/>
        </w:rPr>
        <w:t>节  加快推动农业人口向城镇转移</w:t>
      </w:r>
      <w:bookmarkEnd w:id="119"/>
      <w:bookmarkEnd w:id="120"/>
      <w:bookmarkEnd w:id="121"/>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以“一基本两牵动”为基本遵循，促进有能力在城镇稳定就业和生活的农业人口向县城和中心镇有序转移，推进农业转移人口市民化高质量实现。建立城市人才、金融、技术、资本等下乡激励政策，推动城乡要素自由流动，构建新型城乡关系。落实“零门槛”落户政策，简化转移落户办事程序，全面提升农业转移人口落户城镇便捷度，推进县域就近城镇化。完善“人地钱”挂钩激励机制，切实维护进城落户农民农村原有权益。实现城乡居民平等就业，确保农村人口“进得来、落得住、转得出”。</w:t>
      </w:r>
    </w:p>
    <w:p>
      <w:pPr>
        <w:pStyle w:val="43"/>
        <w:spacing w:beforeLines="50" w:afterLines="50"/>
        <w:rPr>
          <w:b/>
          <w:bCs/>
          <w:color w:val="000000"/>
          <w:sz w:val="36"/>
          <w:szCs w:val="36"/>
        </w:rPr>
      </w:pPr>
      <w:bookmarkStart w:id="122" w:name="_Toc62991761"/>
      <w:bookmarkStart w:id="123" w:name="_Toc62406494"/>
      <w:bookmarkStart w:id="124" w:name="_Toc25304"/>
      <w:r>
        <w:rPr>
          <w:rFonts w:hint="eastAsia"/>
          <w:b/>
          <w:bCs/>
          <w:color w:val="000000"/>
          <w:sz w:val="36"/>
          <w:szCs w:val="36"/>
        </w:rPr>
        <w:t>第</w:t>
      </w:r>
      <w:r>
        <w:rPr>
          <w:rFonts w:hint="eastAsia"/>
          <w:b/>
          <w:bCs/>
          <w:color w:val="000000"/>
          <w:sz w:val="36"/>
          <w:szCs w:val="36"/>
          <w:lang w:eastAsia="zh-CN"/>
        </w:rPr>
        <w:t>二</w:t>
      </w:r>
      <w:r>
        <w:rPr>
          <w:rFonts w:hint="eastAsia"/>
          <w:b/>
          <w:bCs/>
          <w:color w:val="000000"/>
          <w:sz w:val="36"/>
          <w:szCs w:val="36"/>
        </w:rPr>
        <w:t>节  推进基础设施和公共服务城乡贯通</w:t>
      </w:r>
      <w:bookmarkEnd w:id="122"/>
      <w:bookmarkEnd w:id="123"/>
      <w:bookmarkEnd w:id="124"/>
    </w:p>
    <w:p>
      <w:pPr>
        <w:pStyle w:val="29"/>
        <w:spacing w:line="580" w:lineRule="exact"/>
        <w:ind w:firstLine="640"/>
        <w:rPr>
          <w:rFonts w:hint="eastAsia" w:ascii="仿宋_GB2312" w:hAnsi="仿宋_GB2312" w:cs="仿宋_GB2312"/>
          <w:color w:val="000000"/>
          <w:spacing w:val="-6"/>
          <w:szCs w:val="32"/>
        </w:rPr>
      </w:pPr>
      <w:r>
        <w:rPr>
          <w:rFonts w:hint="eastAsia" w:ascii="仿宋_GB2312" w:hAnsi="仿宋_GB2312" w:cs="仿宋_GB2312"/>
          <w:color w:val="000000"/>
          <w:szCs w:val="32"/>
        </w:rPr>
        <w:t>统筹县域城镇和村庄规划建设，建立健全有利于城乡公共服务普惠共享和基础设施一体化的体制机制，积极谋划实施一批新型城镇化重大工程，推动基础设施向农村延伸，公共服务向农村覆</w:t>
      </w:r>
      <w:r>
        <w:rPr>
          <w:rFonts w:hint="eastAsia" w:ascii="仿宋_GB2312" w:hAnsi="仿宋_GB2312" w:cs="仿宋_GB2312"/>
          <w:color w:val="000000"/>
          <w:spacing w:val="-6"/>
          <w:szCs w:val="32"/>
        </w:rPr>
        <w:t>盖。</w:t>
      </w:r>
      <w:r>
        <w:rPr>
          <w:rFonts w:hint="eastAsia" w:ascii="仿宋_GB2312" w:hAnsi="仿宋_GB2312" w:cs="仿宋_GB2312"/>
          <w:color w:val="000000"/>
          <w:szCs w:val="32"/>
        </w:rPr>
        <w:t>探</w:t>
      </w:r>
      <w:r>
        <w:rPr>
          <w:rFonts w:hint="eastAsia" w:ascii="仿宋_GB2312" w:hAnsi="仿宋_GB2312" w:cs="仿宋_GB2312"/>
          <w:color w:val="000000"/>
          <w:spacing w:val="-6"/>
          <w:szCs w:val="32"/>
        </w:rPr>
        <w:t>索实施城乡规划、生态、道路、公交、物流、供水、供气、环卫、教育、医疗、文化、通信等12个一体化，推进城乡贯通、一体发展，增强城镇对农业人口转移的吸引力和牵引力。</w:t>
      </w:r>
    </w:p>
    <w:p>
      <w:pPr>
        <w:pStyle w:val="29"/>
        <w:spacing w:line="580" w:lineRule="exact"/>
        <w:ind w:firstLine="640"/>
        <w:rPr>
          <w:rFonts w:hint="eastAsia" w:ascii="仿宋_GB2312" w:hAnsi="仿宋_GB2312" w:cs="仿宋_GB2312"/>
          <w:color w:val="000000"/>
          <w:spacing w:val="-6"/>
          <w:szCs w:val="32"/>
        </w:rPr>
      </w:pPr>
    </w:p>
    <w:tbl>
      <w:tblPr>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rPr>
          <w:trHeight w:val="497" w:hRule="atLeast"/>
        </w:trPr>
        <w:tc>
          <w:tcPr>
            <w:tcW w:w="8240" w:type="dxa"/>
            <w:vAlign w:val="center"/>
          </w:tcPr>
          <w:p>
            <w:pPr>
              <w:jc w:val="center"/>
              <w:rPr>
                <w:rFonts w:ascii="仿宋" w:hAnsi="仿宋" w:eastAsia="仿宋" w:cs="仿宋"/>
                <w:color w:val="000000"/>
                <w:sz w:val="24"/>
              </w:rPr>
            </w:pPr>
            <w:r>
              <w:rPr>
                <w:rFonts w:hint="eastAsia" w:ascii="仿宋_GB2312" w:hAnsi="Calibri" w:eastAsia="仿宋_GB2312"/>
                <w:bCs/>
                <w:color w:val="000000"/>
                <w:sz w:val="24"/>
              </w:rPr>
              <w:t>专栏</w:t>
            </w:r>
            <w:r>
              <w:rPr>
                <w:rFonts w:ascii="仿宋_GB2312" w:hAnsi="Calibri" w:eastAsia="仿宋_GB2312"/>
                <w:bCs/>
                <w:color w:val="000000"/>
                <w:sz w:val="24"/>
              </w:rPr>
              <w:t>9</w:t>
            </w:r>
            <w:r>
              <w:rPr>
                <w:rFonts w:hint="eastAsia" w:ascii="仿宋_GB2312" w:hAnsi="Calibri" w:eastAsia="仿宋_GB2312"/>
                <w:bCs/>
                <w:color w:val="000000"/>
                <w:sz w:val="24"/>
              </w:rPr>
              <w:t>：新型城镇化重点项目</w:t>
            </w:r>
          </w:p>
        </w:tc>
      </w:tr>
      <w:tr>
        <w:trPr>
          <w:trHeight w:val="1707" w:hRule="atLeast"/>
        </w:trPr>
        <w:tc>
          <w:tcPr>
            <w:tcW w:w="8240" w:type="dxa"/>
            <w:vAlign w:val="center"/>
          </w:tcPr>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城市道路畅通工程。</w:t>
            </w:r>
            <w:r>
              <w:rPr>
                <w:rFonts w:hint="eastAsia" w:ascii="仿宋_GB2312" w:hAnsi="仿宋_GB2312" w:eastAsia="仿宋_GB2312" w:cs="仿宋_GB2312"/>
                <w:color w:val="000000"/>
                <w:sz w:val="24"/>
              </w:rPr>
              <w:t>启动行政路西延、文化路贯通项目；开工建设高寺东路北延、郏景路中段、文博路中段，升级改造龙山大道、候公大道、张良路、文化路、广场西路中段等道路；实施总长24公里，15条道路的城市断头路打通工程；新建知青大道、三苏大道；完成建业路、兴业路、创业路、知青大道南延工程。</w:t>
            </w:r>
          </w:p>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城市公共服务设施工程</w:t>
            </w:r>
            <w:r>
              <w:rPr>
                <w:rFonts w:hint="eastAsia" w:ascii="仿宋_GB2312" w:hAnsi="仿宋_GB2312" w:eastAsia="仿宋_GB2312" w:cs="仿宋_GB2312"/>
                <w:color w:val="000000"/>
                <w:sz w:val="24"/>
              </w:rPr>
              <w:t>。实施市民中心项目。建成全民健身中心、老年活动中心、青少年活动馆。完善城区供水管网，新建供水管线31.8公里。加快城区天然气、供热管网改造提升。新建22座城区公厕。扩建第二污水处理厂。改建10座城区垃圾中转站。加强城区停车场建设，在会议中心、融媒体中心、行政审批中心、龙山大道体育场、德信泉</w:t>
            </w:r>
            <w:r>
              <w:rPr>
                <w:rFonts w:hint="eastAsia" w:ascii="仿宋_GB2312" w:hAnsi="仿宋_GB2312" w:eastAsia="仿宋_GB2312" w:cs="仿宋_GB2312"/>
                <w:color w:val="000000"/>
                <w:sz w:val="24"/>
                <w:lang w:val="en-US" w:eastAsia="zh-CN"/>
              </w:rPr>
              <w:t>商超</w:t>
            </w:r>
            <w:r>
              <w:rPr>
                <w:rFonts w:hint="eastAsia" w:ascii="仿宋_GB2312" w:hAnsi="仿宋_GB2312" w:eastAsia="仿宋_GB2312" w:cs="仿宋_GB2312"/>
                <w:color w:val="000000"/>
                <w:sz w:val="24"/>
              </w:rPr>
              <w:t>等区域规划建设一批立体停车场建设；在中医院、县医院新址、青龙湖</w:t>
            </w:r>
            <w:r>
              <w:rPr>
                <w:rFonts w:hint="eastAsia" w:ascii="仿宋_GB2312" w:hAnsi="仿宋_GB2312" w:eastAsia="仿宋_GB2312" w:cs="仿宋_GB2312"/>
                <w:color w:val="000000"/>
                <w:sz w:val="24"/>
                <w:lang w:val="en-US" w:eastAsia="zh-CN"/>
              </w:rPr>
              <w:t>公园</w:t>
            </w:r>
            <w:r>
              <w:rPr>
                <w:rFonts w:hint="eastAsia" w:ascii="仿宋_GB2312" w:hAnsi="仿宋_GB2312" w:eastAsia="仿宋_GB2312" w:cs="仿宋_GB2312"/>
                <w:color w:val="000000"/>
                <w:sz w:val="24"/>
              </w:rPr>
              <w:t>、林溪谷</w:t>
            </w:r>
            <w:r>
              <w:rPr>
                <w:rFonts w:hint="eastAsia" w:ascii="仿宋_GB2312" w:hAnsi="仿宋_GB2312" w:eastAsia="仿宋_GB2312" w:cs="仿宋_GB2312"/>
                <w:color w:val="000000"/>
                <w:sz w:val="24"/>
                <w:lang w:val="en-US" w:eastAsia="zh-CN"/>
              </w:rPr>
              <w:t>小区</w:t>
            </w:r>
            <w:r>
              <w:rPr>
                <w:rFonts w:hint="eastAsia" w:ascii="仿宋_GB2312" w:hAnsi="仿宋_GB2312" w:eastAsia="仿宋_GB2312" w:cs="仿宋_GB2312"/>
                <w:color w:val="000000"/>
                <w:sz w:val="24"/>
              </w:rPr>
              <w:t>、华联商超等区域规划建设快速充电桩。</w:t>
            </w:r>
          </w:p>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城镇</w:t>
            </w:r>
            <w:r>
              <w:rPr>
                <w:rFonts w:ascii="仿宋_GB2312" w:hAnsi="仿宋_GB2312" w:eastAsia="仿宋_GB2312" w:cs="仿宋_GB2312"/>
                <w:b/>
                <w:bCs/>
                <w:color w:val="000000"/>
                <w:sz w:val="24"/>
              </w:rPr>
              <w:t>保障性安居工程</w:t>
            </w:r>
            <w:r>
              <w:rPr>
                <w:rFonts w:hint="eastAsia" w:ascii="仿宋_GB2312" w:hAnsi="仿宋_GB2312" w:eastAsia="仿宋_GB2312" w:cs="仿宋_GB2312"/>
                <w:b/>
                <w:bCs/>
                <w:color w:val="000000"/>
                <w:sz w:val="24"/>
              </w:rPr>
              <w:t>。</w:t>
            </w:r>
            <w:r>
              <w:rPr>
                <w:rFonts w:hint="eastAsia" w:ascii="仿宋_GB2312" w:hAnsi="仿宋_GB2312" w:eastAsia="仿宋_GB2312" w:cs="仿宋_GB2312"/>
                <w:color w:val="000000"/>
                <w:sz w:val="24"/>
              </w:rPr>
              <w:t>新建公共租赁房1145套；完成2018-2020年棚户区改造工程，完善社区红线内外配套设施；加快推进城区老旧小区改造。</w:t>
            </w:r>
          </w:p>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城市绿化美化亮化工程。</w:t>
            </w:r>
            <w:r>
              <w:rPr>
                <w:rFonts w:hint="eastAsia" w:ascii="仿宋_GB2312" w:hAnsi="仿宋_GB2312" w:eastAsia="仿宋_GB2312" w:cs="仿宋_GB2312"/>
                <w:bCs/>
                <w:color w:val="000000"/>
                <w:sz w:val="24"/>
              </w:rPr>
              <w:t>建成</w:t>
            </w:r>
            <w:r>
              <w:rPr>
                <w:rFonts w:hint="eastAsia" w:ascii="仿宋_GB2312" w:hAnsi="仿宋_GB2312" w:eastAsia="仿宋_GB2312" w:cs="仿宋_GB2312"/>
                <w:bCs/>
                <w:color w:val="000000"/>
                <w:sz w:val="24"/>
                <w:lang w:val="en-US" w:eastAsia="zh-CN"/>
              </w:rPr>
              <w:t>郏县</w:t>
            </w:r>
            <w:r>
              <w:rPr>
                <w:rFonts w:hint="eastAsia" w:ascii="仿宋_GB2312" w:hAnsi="仿宋_GB2312" w:eastAsia="仿宋_GB2312" w:cs="仿宋_GB2312"/>
                <w:color w:val="000000"/>
                <w:sz w:val="24"/>
              </w:rPr>
              <w:t>北汝河</w:t>
            </w:r>
            <w:r>
              <w:rPr>
                <w:rFonts w:hint="eastAsia" w:ascii="仿宋_GB2312" w:hAnsi="仿宋_GB2312" w:eastAsia="仿宋_GB2312" w:cs="仿宋_GB2312"/>
                <w:color w:val="000000"/>
                <w:sz w:val="24"/>
                <w:lang w:val="en-US" w:eastAsia="zh-CN"/>
              </w:rPr>
              <w:t>省级</w:t>
            </w:r>
            <w:r>
              <w:rPr>
                <w:rFonts w:hint="eastAsia" w:ascii="仿宋_GB2312" w:hAnsi="仿宋_GB2312" w:eastAsia="仿宋_GB2312" w:cs="仿宋_GB2312"/>
                <w:color w:val="000000"/>
                <w:sz w:val="24"/>
              </w:rPr>
              <w:t>湿地</w:t>
            </w:r>
            <w:r>
              <w:rPr>
                <w:rFonts w:hint="eastAsia" w:ascii="仿宋_GB2312" w:hAnsi="仿宋_GB2312" w:eastAsia="仿宋_GB2312" w:cs="仿宋_GB2312"/>
                <w:color w:val="000000"/>
                <w:sz w:val="24"/>
                <w:lang w:val="en-US" w:eastAsia="zh-CN"/>
              </w:rPr>
              <w:t>森林</w:t>
            </w:r>
            <w:r>
              <w:rPr>
                <w:rFonts w:hint="eastAsia" w:ascii="仿宋_GB2312" w:hAnsi="仿宋_GB2312" w:eastAsia="仿宋_GB2312" w:cs="仿宋_GB2312"/>
                <w:color w:val="000000"/>
                <w:sz w:val="24"/>
              </w:rPr>
              <w:t>公园、青龙湖湿地公园；建设城市水系公园；建成八一路公园、郏城遗址公园；实施城市规划区3万平方米立体绿化工程；实施城区单位、住宅10万平方米屋顶绿化工程；实施城区背街小巷全方位提质改造。</w:t>
            </w:r>
          </w:p>
          <w:p>
            <w:pPr>
              <w:widowControl w:val="0"/>
              <w:wordWrap/>
              <w:adjustRightInd/>
              <w:snapToGrid/>
              <w:spacing w:line="400" w:lineRule="exact"/>
              <w:ind w:firstLine="482" w:firstLineChars="200"/>
              <w:textAlignment w:val="auto"/>
              <w:rPr>
                <w:color w:val="000000"/>
              </w:rPr>
            </w:pPr>
            <w:r>
              <w:rPr>
                <w:rFonts w:hint="eastAsia" w:ascii="仿宋_GB2312" w:hAnsi="仿宋_GB2312" w:eastAsia="仿宋_GB2312" w:cs="仿宋_GB2312"/>
                <w:b/>
                <w:bCs/>
                <w:color w:val="000000"/>
                <w:sz w:val="24"/>
              </w:rPr>
              <w:t>智慧城市建设工程。</w:t>
            </w:r>
            <w:r>
              <w:rPr>
                <w:rFonts w:hint="eastAsia" w:ascii="仿宋_GB2312" w:hAnsi="仿宋_GB2312" w:eastAsia="仿宋_GB2312" w:cs="仿宋_GB2312"/>
                <w:color w:val="000000"/>
                <w:sz w:val="24"/>
              </w:rPr>
              <w:t>加快智慧水务平台系统开发及相关配套设施建设，推进城区智能交通及智能管网建设，建设千机数据科技大数据平台、睿金网络科技大数据平台和智慧云停车一体化平台。</w:t>
            </w:r>
          </w:p>
        </w:tc>
      </w:tr>
    </w:tbl>
    <w:p>
      <w:pPr>
        <w:pStyle w:val="41"/>
        <w:numPr>
          <w:ilvl w:val="0"/>
          <w:numId w:val="1"/>
        </w:numPr>
        <w:spacing w:line="580" w:lineRule="exact"/>
        <w:ind w:left="420"/>
        <w:rPr>
          <w:rFonts w:hint="eastAsia" w:ascii="方正小标宋_GBK" w:hAnsi="方正小标宋_GBK" w:eastAsia="方正小标宋_GBK" w:cs="方正小标宋_GBK"/>
          <w:b w:val="0"/>
          <w:color w:val="000000"/>
          <w:sz w:val="32"/>
          <w:szCs w:val="32"/>
        </w:rPr>
      </w:pPr>
      <w:bookmarkStart w:id="125" w:name="_Toc62991762"/>
      <w:r>
        <w:rPr>
          <w:rFonts w:hint="eastAsia" w:ascii="方正小标宋_GBK" w:hAnsi="方正小标宋_GBK" w:eastAsia="方正小标宋_GBK" w:cs="方正小标宋_GBK"/>
          <w:b w:val="0"/>
          <w:color w:val="000000"/>
          <w:sz w:val="32"/>
          <w:szCs w:val="32"/>
        </w:rPr>
        <w:t xml:space="preserve"> </w:t>
      </w:r>
      <w:bookmarkStart w:id="126" w:name="_Toc13964"/>
      <w:r>
        <w:rPr>
          <w:rFonts w:hint="eastAsia" w:ascii="方正小标宋_GBK" w:hAnsi="方正小标宋_GBK" w:eastAsia="方正小标宋_GBK" w:cs="方正小标宋_GBK"/>
          <w:b w:val="0"/>
          <w:color w:val="000000"/>
          <w:sz w:val="32"/>
          <w:szCs w:val="32"/>
        </w:rPr>
        <w:t>实施乡村振兴战略，开创农业农村高质量发展新</w:t>
      </w:r>
      <w:bookmarkEnd w:id="125"/>
      <w:r>
        <w:rPr>
          <w:rFonts w:hint="eastAsia" w:ascii="方正小标宋_GBK" w:hAnsi="方正小标宋_GBK" w:eastAsia="方正小标宋_GBK" w:cs="方正小标宋_GBK"/>
          <w:b w:val="0"/>
          <w:color w:val="000000"/>
          <w:sz w:val="32"/>
          <w:szCs w:val="32"/>
        </w:rPr>
        <w:t>局面</w:t>
      </w:r>
      <w:bookmarkEnd w:id="126"/>
    </w:p>
    <w:p>
      <w:pPr>
        <w:pStyle w:val="29"/>
        <w:spacing w:line="580" w:lineRule="exact"/>
        <w:ind w:firstLine="640"/>
        <w:rPr>
          <w:rFonts w:ascii="仿宋_GB2312" w:hAnsi="仿宋_GB2312" w:cs="仿宋_GB2312"/>
          <w:color w:val="000000"/>
          <w:szCs w:val="32"/>
        </w:rPr>
      </w:pPr>
      <w:bookmarkStart w:id="127" w:name="_Toc58184691"/>
      <w:r>
        <w:rPr>
          <w:rFonts w:hint="eastAsia" w:ascii="仿宋_GB2312" w:hAnsi="仿宋_GB2312" w:cs="仿宋_GB2312"/>
          <w:color w:val="000000"/>
          <w:szCs w:val="32"/>
        </w:rPr>
        <w:t>坚持农业农村优先发展，围绕国家农业“两区”建设，全面实施乡村振兴战略，统筹推进乡村“五个振兴”，强化以工补农、以城带乡，推动形成工农互促、城乡互补、协调发展、共同繁荣的新型工农城乡关系，加快农业农村现代化建设。</w:t>
      </w:r>
    </w:p>
    <w:p>
      <w:pPr>
        <w:pStyle w:val="42"/>
        <w:spacing w:beforeLines="50" w:afterLines="50"/>
        <w:rPr>
          <w:b w:val="0"/>
          <w:bCs/>
          <w:color w:val="000000"/>
          <w:szCs w:val="32"/>
        </w:rPr>
      </w:pPr>
      <w:bookmarkStart w:id="128" w:name="_Toc62991763"/>
      <w:bookmarkStart w:id="129" w:name="_Toc12378"/>
      <w:r>
        <w:rPr>
          <w:rFonts w:hint="eastAsia"/>
          <w:b w:val="0"/>
          <w:bCs/>
          <w:color w:val="000000"/>
          <w:szCs w:val="32"/>
        </w:rPr>
        <w:t xml:space="preserve">第一章 </w:t>
      </w:r>
      <w:r>
        <w:rPr>
          <w:b w:val="0"/>
          <w:bCs/>
          <w:color w:val="000000"/>
          <w:szCs w:val="32"/>
        </w:rPr>
        <w:t xml:space="preserve"> </w:t>
      </w:r>
      <w:r>
        <w:rPr>
          <w:rFonts w:hint="eastAsia"/>
          <w:b w:val="0"/>
          <w:bCs/>
          <w:color w:val="000000"/>
          <w:szCs w:val="32"/>
        </w:rPr>
        <w:t>构建现代农业产业体系</w:t>
      </w:r>
      <w:bookmarkEnd w:id="127"/>
      <w:bookmarkEnd w:id="128"/>
      <w:bookmarkEnd w:id="129"/>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深入推进农业供给侧结构性改革，推动农业产业链、价值链和供应链“三链同构”，以郏县红牛为引领，大力发展优质烟叶、高品质富硒农产品等特色农业，推动农业与二、三产业融合发展。加快“三园”建设，将郏县打造成平顶山市区的“果园”、“花园”、“菜园”。</w:t>
      </w:r>
    </w:p>
    <w:p>
      <w:pPr>
        <w:pStyle w:val="43"/>
        <w:spacing w:beforeLines="50" w:afterLines="50"/>
        <w:rPr>
          <w:b/>
          <w:bCs/>
          <w:color w:val="000000"/>
          <w:sz w:val="36"/>
          <w:szCs w:val="36"/>
        </w:rPr>
      </w:pPr>
      <w:bookmarkStart w:id="130" w:name="_Toc62991764"/>
      <w:bookmarkStart w:id="131" w:name="_Toc17825"/>
      <w:r>
        <w:rPr>
          <w:rFonts w:hint="eastAsia"/>
          <w:b/>
          <w:bCs/>
          <w:color w:val="000000"/>
          <w:sz w:val="36"/>
          <w:szCs w:val="36"/>
        </w:rPr>
        <w:t xml:space="preserve">第一节 </w:t>
      </w:r>
      <w:bookmarkStart w:id="132" w:name="_Hlk59027032"/>
      <w:r>
        <w:rPr>
          <w:b/>
          <w:bCs/>
          <w:color w:val="000000"/>
          <w:sz w:val="36"/>
          <w:szCs w:val="36"/>
        </w:rPr>
        <w:t xml:space="preserve"> 扛稳粮食安全责任</w:t>
      </w:r>
      <w:bookmarkEnd w:id="130"/>
      <w:bookmarkEnd w:id="131"/>
      <w:bookmarkEnd w:id="132"/>
    </w:p>
    <w:p>
      <w:pPr>
        <w:pStyle w:val="29"/>
        <w:spacing w:line="580" w:lineRule="exact"/>
        <w:ind w:firstLine="640"/>
        <w:rPr>
          <w:rFonts w:ascii="仿宋_GB2312" w:hAnsi="仿宋_GB2312" w:cs="仿宋_GB2312"/>
          <w:color w:val="000000"/>
          <w:szCs w:val="32"/>
        </w:rPr>
      </w:pPr>
      <w:r>
        <w:rPr>
          <w:rFonts w:ascii="仿宋_GB2312" w:hAnsi="仿宋_GB2312" w:cs="仿宋_GB2312"/>
          <w:color w:val="000000"/>
          <w:szCs w:val="32"/>
        </w:rPr>
        <w:t>严守耕地保护红线，全面落实永久基本农田特殊保护制度，加快粮食生产功能区、重要农产品生产保护区建设，确保</w:t>
      </w:r>
      <w:r>
        <w:rPr>
          <w:rFonts w:hint="eastAsia" w:ascii="仿宋_GB2312" w:hAnsi="仿宋_GB2312" w:cs="仿宋_GB2312"/>
          <w:color w:val="000000"/>
          <w:szCs w:val="32"/>
        </w:rPr>
        <w:t>全县</w:t>
      </w:r>
      <w:r>
        <w:rPr>
          <w:rFonts w:ascii="仿宋_GB2312" w:hAnsi="仿宋_GB2312" w:cs="仿宋_GB2312"/>
          <w:color w:val="000000"/>
          <w:szCs w:val="32"/>
        </w:rPr>
        <w:t>粮食</w:t>
      </w:r>
      <w:r>
        <w:rPr>
          <w:rFonts w:hint="eastAsia" w:ascii="仿宋_GB2312" w:hAnsi="仿宋_GB2312" w:cs="仿宋_GB2312"/>
          <w:color w:val="000000"/>
          <w:szCs w:val="32"/>
        </w:rPr>
        <w:t>播种</w:t>
      </w:r>
      <w:r>
        <w:rPr>
          <w:rFonts w:ascii="仿宋_GB2312" w:hAnsi="仿宋_GB2312" w:cs="仿宋_GB2312"/>
          <w:color w:val="000000"/>
          <w:szCs w:val="32"/>
        </w:rPr>
        <w:t>面积稳定在86万亩以上，粮食总产稳定在33</w:t>
      </w:r>
      <w:r>
        <w:rPr>
          <w:rFonts w:hint="eastAsia" w:ascii="仿宋_GB2312" w:hAnsi="仿宋_GB2312" w:cs="仿宋_GB2312"/>
          <w:color w:val="000000"/>
          <w:szCs w:val="32"/>
        </w:rPr>
        <w:t>万吨</w:t>
      </w:r>
      <w:r>
        <w:rPr>
          <w:rFonts w:ascii="仿宋_GB2312" w:hAnsi="仿宋_GB2312" w:cs="仿宋_GB2312"/>
          <w:color w:val="000000"/>
          <w:szCs w:val="32"/>
        </w:rPr>
        <w:t>。坚持藏粮于地、藏粮于技，不断加大农业科技投入，大力引进、实验、示范、推广农业新品种、新技术，强化农业技术支撑，努力实现良种良法配套。</w:t>
      </w:r>
      <w:r>
        <w:rPr>
          <w:rFonts w:hint="eastAsia" w:ascii="仿宋_GB2312" w:hAnsi="仿宋_GB2312" w:cs="仿宋_GB2312"/>
          <w:color w:val="000000"/>
          <w:szCs w:val="32"/>
        </w:rPr>
        <w:t>持续推进高标准农田建设，完善农田水利设施，巩固重要农产品生产供给保障能力。实施优质粮食工程，强化农业科技、人才、装备、技术支撑，提高农业机械化水平，推动良田良种良法良机有机结合，实现农业由增产导向向提质导向转变。到“十四五”末，高标准农田保有量达到4</w:t>
      </w:r>
      <w:r>
        <w:rPr>
          <w:rFonts w:ascii="仿宋_GB2312" w:hAnsi="仿宋_GB2312" w:cs="仿宋_GB2312"/>
          <w:color w:val="000000"/>
          <w:szCs w:val="32"/>
        </w:rPr>
        <w:t>6</w:t>
      </w:r>
      <w:r>
        <w:rPr>
          <w:rFonts w:hint="eastAsia" w:ascii="仿宋_GB2312" w:hAnsi="仿宋_GB2312" w:cs="仿宋_GB2312"/>
          <w:color w:val="000000"/>
          <w:szCs w:val="32"/>
        </w:rPr>
        <w:t>万亩以上。</w:t>
      </w:r>
    </w:p>
    <w:tbl>
      <w:tblPr>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2"/>
      </w:tblGrid>
      <w:tr>
        <w:trPr>
          <w:trHeight w:val="629" w:hRule="atLeast"/>
          <w:jc w:val="center"/>
        </w:trPr>
        <w:tc>
          <w:tcPr>
            <w:tcW w:w="8332" w:type="dxa"/>
            <w:vAlign w:val="center"/>
          </w:tcPr>
          <w:p>
            <w:pPr>
              <w:pStyle w:val="3"/>
              <w:spacing w:line="400" w:lineRule="exact"/>
              <w:jc w:val="center"/>
              <w:rPr>
                <w:rFonts w:eastAsia="仿宋"/>
                <w:color w:val="000000"/>
                <w:sz w:val="24"/>
              </w:rPr>
            </w:pPr>
            <w:bookmarkStart w:id="133" w:name="_Toc62991765"/>
            <w:r>
              <w:rPr>
                <w:rFonts w:ascii="仿宋_GB2312" w:hAnsi="楷体" w:eastAsia="仿宋_GB2312" w:cs="仿宋"/>
                <w:b/>
                <w:bCs/>
                <w:color w:val="000000"/>
                <w:kern w:val="0"/>
                <w:sz w:val="24"/>
                <w:szCs w:val="24"/>
              </w:rPr>
              <w:t>专栏10</w:t>
            </w:r>
            <w:r>
              <w:rPr>
                <w:rFonts w:hint="eastAsia" w:ascii="仿宋_GB2312" w:hAnsi="楷体" w:eastAsia="仿宋_GB2312" w:cs="仿宋"/>
                <w:b/>
                <w:bCs/>
                <w:color w:val="000000"/>
                <w:kern w:val="0"/>
                <w:sz w:val="24"/>
                <w:szCs w:val="24"/>
              </w:rPr>
              <w:t>：粮食产量巩固项目</w:t>
            </w:r>
          </w:p>
        </w:tc>
      </w:tr>
      <w:tr>
        <w:trPr>
          <w:trHeight w:val="90" w:hRule="atLeast"/>
          <w:jc w:val="center"/>
        </w:trPr>
        <w:tc>
          <w:tcPr>
            <w:tcW w:w="8332" w:type="dxa"/>
            <w:vAlign w:val="center"/>
          </w:tcPr>
          <w:p>
            <w:pPr>
              <w:widowControl w:val="0"/>
              <w:wordWrap/>
              <w:adjustRightInd/>
              <w:snapToGrid/>
              <w:spacing w:line="400" w:lineRule="exact"/>
              <w:ind w:firstLine="480" w:firstLineChars="200"/>
              <w:textAlignment w:val="auto"/>
              <w:rPr>
                <w:rFonts w:eastAsia="仿宋"/>
                <w:color w:val="000000"/>
                <w:kern w:val="0"/>
                <w:sz w:val="24"/>
              </w:rPr>
            </w:pPr>
            <w:r>
              <w:rPr>
                <w:rFonts w:hint="eastAsia" w:ascii="仿宋_GB2312" w:hAnsi="仿宋_GB2312" w:eastAsia="仿宋_GB2312" w:cs="仿宋_GB2312"/>
                <w:color w:val="000000"/>
                <w:sz w:val="24"/>
              </w:rPr>
              <w:t>扛稳粮食生产核心区、高产巩固县责任，建设良种繁育基地。实施郏县高标准农田建设项目、40万亩绿色食品原料标准化生产基地建设项目。</w:t>
            </w:r>
          </w:p>
        </w:tc>
      </w:tr>
    </w:tbl>
    <w:p>
      <w:pPr>
        <w:pStyle w:val="29"/>
        <w:spacing w:line="580" w:lineRule="exact"/>
        <w:ind w:firstLine="640"/>
        <w:rPr>
          <w:rFonts w:ascii="仿宋_GB2312" w:hAnsi="仿宋_GB2312" w:cs="仿宋_GB2312"/>
          <w:color w:val="000000"/>
          <w:szCs w:val="32"/>
        </w:rPr>
      </w:pPr>
    </w:p>
    <w:p>
      <w:pPr>
        <w:pStyle w:val="43"/>
        <w:spacing w:afterLines="50"/>
        <w:rPr>
          <w:b/>
          <w:bCs/>
          <w:color w:val="000000"/>
          <w:sz w:val="36"/>
          <w:szCs w:val="36"/>
        </w:rPr>
      </w:pPr>
      <w:bookmarkStart w:id="134" w:name="_Toc6500"/>
      <w:r>
        <w:rPr>
          <w:rFonts w:hint="eastAsia"/>
          <w:b/>
          <w:bCs/>
          <w:color w:val="000000"/>
          <w:sz w:val="36"/>
          <w:szCs w:val="36"/>
        </w:rPr>
        <w:t>第二节  加强特色高效农业发展</w:t>
      </w:r>
      <w:bookmarkEnd w:id="133"/>
      <w:bookmarkEnd w:id="134"/>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巩固提升烟叶种植产业。</w:t>
      </w:r>
      <w:r>
        <w:rPr>
          <w:rFonts w:hint="eastAsia" w:ascii="仿宋_GB2312" w:hAnsi="仿宋_GB2312" w:eastAsia="仿宋_GB2312" w:cs="仿宋_GB2312"/>
          <w:color w:val="000000"/>
          <w:sz w:val="32"/>
          <w:szCs w:val="32"/>
        </w:rPr>
        <w:t>擦亮“山儿西”烟品牌，着力建设“一区三带四基地”，打造全省烟叶核心产区“示范”县。</w:t>
      </w:r>
      <w:r>
        <w:rPr>
          <w:rFonts w:hint="eastAsia" w:ascii="仿宋_GB2312" w:hAnsi="仿宋_GB2312" w:eastAsia="仿宋_GB2312" w:cs="仿宋_GB2312"/>
          <w:color w:val="000000"/>
          <w:kern w:val="0"/>
          <w:sz w:val="32"/>
          <w:szCs w:val="32"/>
        </w:rPr>
        <w:t>建设浓香特色烟叶示范区。依托堂街、李口、姚庄3个乡镇，充分发挥“山儿西”烟腹地的生态优势 ，瞄准“中华” “熊猫”“黄金叶”等品牌卷烟主配方的原料需求，到2025年，浓香型特色烟田面积规划达到1.5万亩。高标准建设烟草水源工程沿线茨芭镇、薛店镇烟叶种植带，广阔渠沿线渣园乡、安良镇、白庙乡、冢头镇烟叶种植带，恒压喷灌站覆盖的堂街、李口烟叶种植带。到2025年，烟草水源工程、广阔渠、恒压喷灌站三个烟叶种植带分别达到1万亩以上，全县</w:t>
      </w:r>
      <w:r>
        <w:rPr>
          <w:rFonts w:hint="eastAsia" w:ascii="仿宋_GB2312" w:hAnsi="仿宋_GB2312" w:eastAsia="仿宋_GB2312" w:cs="仿宋_GB2312"/>
          <w:color w:val="000000"/>
          <w:sz w:val="32"/>
          <w:szCs w:val="32"/>
        </w:rPr>
        <w:t>烟叶面积稳定在10万亩左右，烟农收入实现4.5亿元以上，烟叶税收1亿元以上。</w:t>
      </w:r>
      <w:r>
        <w:rPr>
          <w:rFonts w:hint="eastAsia" w:ascii="仿宋_GB2312" w:hAnsi="仿宋_GB2312" w:eastAsia="仿宋_GB2312" w:cs="仿宋_GB2312"/>
          <w:color w:val="000000"/>
          <w:kern w:val="0"/>
          <w:sz w:val="32"/>
          <w:szCs w:val="32"/>
        </w:rPr>
        <w:t>加强烟叶基地单元建设，按照种植面积1.7万亩、收购量5万亩左右的建设标准，着力建设上海烟草（集团）基地单元、河南中烟基地单元、云南红塔基地单元、四川中烟基地单元。</w:t>
      </w:r>
      <w:r>
        <w:rPr>
          <w:rFonts w:hint="eastAsia" w:ascii="仿宋_GB2312" w:hAnsi="仿宋_GB2312" w:eastAsia="仿宋_GB2312" w:cs="仿宋_GB2312"/>
          <w:color w:val="000000"/>
          <w:sz w:val="32"/>
          <w:szCs w:val="32"/>
        </w:rPr>
        <w:t>依托平顶山烟草科技示范园，发展烟草农事体验游。完善基础设施，优化生产方式，加强与科研院校合作，改良烟叶品种，加强技术培训，全面提高烟叶种植管理烘烤技术，不断提升烟叶品质。加大宣传力度，叫响郏县“山儿西”烟金字招牌，实施高端原料保障工程，不断提高浓香型烟叶原料保障能力，为打造紧俏河南浓香型烟叶品牌打牢基础，实现强县福民。</w:t>
      </w:r>
    </w:p>
    <w:p>
      <w:pPr>
        <w:pStyle w:val="29"/>
        <w:spacing w:line="580" w:lineRule="exact"/>
        <w:ind w:firstLine="643"/>
        <w:rPr>
          <w:rFonts w:ascii="仿宋_GB2312" w:hAnsi="仿宋_GB2312" w:cs="仿宋_GB2312"/>
          <w:color w:val="000000"/>
          <w:szCs w:val="32"/>
        </w:rPr>
      </w:pPr>
      <w:r>
        <w:rPr>
          <w:rFonts w:hint="eastAsia" w:ascii="仿宋_GB2312" w:hAnsi="仿宋_GB2312" w:eastAsia="仿宋_GB2312" w:cs="仿宋_GB2312"/>
          <w:b/>
          <w:bCs/>
          <w:color w:val="000000"/>
          <w:szCs w:val="32"/>
        </w:rPr>
        <w:t>发展高品质特色富硒农产品。</w:t>
      </w:r>
      <w:r>
        <w:rPr>
          <w:rFonts w:hint="eastAsia" w:ascii="仿宋_GB2312" w:hAnsi="仿宋_GB2312" w:eastAsia="仿宋_GB2312" w:cs="仿宋_GB2312"/>
          <w:color w:val="000000"/>
          <w:szCs w:val="32"/>
        </w:rPr>
        <w:t>以绿禾农业、鑫龙蔬菜种植合作社、瑞丰源种植专业合作社、新军蔬菜种植专业合作社为主推进开展绿色食品、有机农产品和农产品国家地理标志认证，打造特色富硒农产品生产基地。</w:t>
      </w:r>
    </w:p>
    <w:tbl>
      <w:tblPr>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2"/>
      </w:tblGrid>
      <w:tr>
        <w:trPr>
          <w:trHeight w:val="629" w:hRule="atLeast"/>
          <w:jc w:val="center"/>
        </w:trPr>
        <w:tc>
          <w:tcPr>
            <w:tcW w:w="8332" w:type="dxa"/>
            <w:vAlign w:val="center"/>
          </w:tcPr>
          <w:p>
            <w:pPr>
              <w:pStyle w:val="3"/>
              <w:spacing w:line="400" w:lineRule="exact"/>
              <w:jc w:val="center"/>
              <w:rPr>
                <w:rFonts w:eastAsia="仿宋"/>
                <w:color w:val="000000"/>
                <w:sz w:val="24"/>
              </w:rPr>
            </w:pPr>
            <w:r>
              <w:rPr>
                <w:rFonts w:ascii="仿宋_GB2312" w:hAnsi="楷体" w:eastAsia="仿宋_GB2312" w:cs="仿宋"/>
                <w:b/>
                <w:bCs/>
                <w:color w:val="000000"/>
                <w:kern w:val="0"/>
                <w:sz w:val="24"/>
                <w:szCs w:val="24"/>
              </w:rPr>
              <w:t>专栏1</w:t>
            </w:r>
            <w:r>
              <w:rPr>
                <w:rFonts w:hint="eastAsia" w:ascii="仿宋_GB2312" w:hAnsi="楷体" w:eastAsia="仿宋_GB2312" w:cs="仿宋"/>
                <w:b/>
                <w:bCs/>
                <w:color w:val="000000"/>
                <w:kern w:val="0"/>
                <w:sz w:val="24"/>
                <w:szCs w:val="24"/>
              </w:rPr>
              <w:t>1：特色农业重点项目</w:t>
            </w:r>
          </w:p>
        </w:tc>
      </w:tr>
      <w:tr>
        <w:trPr>
          <w:trHeight w:val="389" w:hRule="atLeast"/>
          <w:jc w:val="center"/>
        </w:trPr>
        <w:tc>
          <w:tcPr>
            <w:tcW w:w="8332" w:type="dxa"/>
            <w:vAlign w:val="center"/>
          </w:tcPr>
          <w:p>
            <w:pPr>
              <w:spacing w:line="400" w:lineRule="exact"/>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color w:val="000000"/>
                <w:sz w:val="24"/>
                <w:lang w:val="en-US" w:eastAsia="zh-CN"/>
              </w:rPr>
              <w:t>郏县</w:t>
            </w:r>
            <w:r>
              <w:rPr>
                <w:rFonts w:hint="eastAsia" w:ascii="仿宋_GB2312" w:hAnsi="仿宋_GB2312" w:eastAsia="仿宋_GB2312" w:cs="仿宋_GB2312"/>
                <w:b/>
                <w:color w:val="000000"/>
                <w:sz w:val="24"/>
              </w:rPr>
              <w:t>红牛</w:t>
            </w:r>
            <w:r>
              <w:rPr>
                <w:rFonts w:hint="eastAsia" w:ascii="仿宋_GB2312" w:hAnsi="仿宋_GB2312" w:eastAsia="仿宋_GB2312" w:cs="仿宋_GB2312"/>
                <w:b/>
                <w:color w:val="000000"/>
                <w:sz w:val="24"/>
                <w:lang w:val="en-US" w:eastAsia="zh-CN"/>
              </w:rPr>
              <w:t>养殖</w:t>
            </w:r>
            <w:r>
              <w:rPr>
                <w:rFonts w:hint="eastAsia" w:ascii="仿宋_GB2312" w:hAnsi="仿宋_GB2312" w:eastAsia="仿宋_GB2312" w:cs="仿宋_GB2312"/>
                <w:b/>
                <w:color w:val="000000"/>
                <w:sz w:val="24"/>
              </w:rPr>
              <w:t>项目：</w:t>
            </w:r>
            <w:r>
              <w:rPr>
                <w:rFonts w:hint="eastAsia" w:ascii="仿宋_GB2312" w:hAnsi="仿宋_GB2312" w:eastAsia="仿宋_GB2312" w:cs="仿宋_GB2312"/>
                <w:color w:val="000000"/>
                <w:sz w:val="24"/>
              </w:rPr>
              <w:t>重点实施</w:t>
            </w:r>
            <w:r>
              <w:rPr>
                <w:rFonts w:hint="eastAsia" w:ascii="仿宋_GB2312" w:hAnsi="楷体" w:eastAsia="仿宋_GB2312" w:cs="仿宋"/>
                <w:color w:val="000000"/>
                <w:kern w:val="0"/>
                <w:sz w:val="24"/>
              </w:rPr>
              <w:t>郏县红牛标准化数字化养殖体系建设（质量追溯）、凤凰岭年出栏2200头红牛种养一体化项目、郏县富民年出栏2000头红牛养殖场项目、瑞合畜牧养殖有限公司年出栏3000头现代化肉牛养殖项目、联帮牧业红牛养殖基地项目、郏瑞牧业有限公司年出栏5000头高档雪花肉牛育肥项目等标准化养殖项目。</w:t>
            </w:r>
          </w:p>
          <w:p>
            <w:pPr>
              <w:pStyle w:val="3"/>
              <w:spacing w:line="400" w:lineRule="exact"/>
              <w:ind w:firstLine="482" w:firstLineChars="20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lang w:val="en-US" w:eastAsia="zh-CN"/>
              </w:rPr>
              <w:t>其他</w:t>
            </w:r>
            <w:r>
              <w:rPr>
                <w:rFonts w:hint="eastAsia" w:ascii="仿宋_GB2312" w:hAnsi="仿宋_GB2312" w:eastAsia="仿宋_GB2312" w:cs="仿宋_GB2312"/>
                <w:b/>
                <w:color w:val="000000"/>
                <w:sz w:val="24"/>
                <w:szCs w:val="24"/>
              </w:rPr>
              <w:t>畜牧业项目：</w:t>
            </w:r>
            <w:r>
              <w:rPr>
                <w:rFonts w:hint="eastAsia" w:ascii="仿宋_GB2312" w:hAnsi="仿宋_GB2312" w:eastAsia="仿宋_GB2312" w:cs="仿宋_GB2312"/>
                <w:color w:val="000000"/>
                <w:sz w:val="24"/>
              </w:rPr>
              <w:t>实施白庙乡年出栏500万只现代肉鸡养殖项目；李口镇老昝庄村南美对虾养殖项目，建设恒温大棚10余座。</w:t>
            </w:r>
          </w:p>
          <w:p>
            <w:pPr>
              <w:spacing w:line="400" w:lineRule="exact"/>
              <w:ind w:firstLine="482" w:firstLineChars="200"/>
              <w:rPr>
                <w:rFonts w:eastAsia="仿宋"/>
                <w:color w:val="000000"/>
                <w:kern w:val="0"/>
                <w:sz w:val="24"/>
              </w:rPr>
            </w:pPr>
            <w:r>
              <w:rPr>
                <w:rFonts w:hint="eastAsia" w:ascii="仿宋_GB2312" w:hAnsi="仿宋_GB2312" w:eastAsia="仿宋_GB2312" w:cs="仿宋_GB2312"/>
                <w:b/>
                <w:color w:val="000000"/>
                <w:sz w:val="24"/>
              </w:rPr>
              <w:t>种植业项目：</w:t>
            </w:r>
            <w:r>
              <w:rPr>
                <w:rFonts w:hint="eastAsia" w:ascii="仿宋_GB2312" w:hAnsi="仿宋_GB2312" w:eastAsia="仿宋_GB2312" w:cs="仿宋_GB2312"/>
                <w:color w:val="000000"/>
                <w:sz w:val="24"/>
              </w:rPr>
              <w:t>实施占地30亩白庙乡食用菌种植项目，新建50座大棚；实施李口镇富硒巨菇种植项目、</w:t>
            </w:r>
            <w:r>
              <w:rPr>
                <w:rFonts w:hint="eastAsia" w:ascii="仿宋_GB2312" w:hAnsi="楷体" w:eastAsia="仿宋_GB2312" w:cs="仿宋"/>
                <w:bCs/>
                <w:color w:val="000000"/>
                <w:kern w:val="0"/>
                <w:sz w:val="24"/>
              </w:rPr>
              <w:t>多品种特色果蔬种植园区</w:t>
            </w:r>
            <w:r>
              <w:rPr>
                <w:rFonts w:hint="eastAsia" w:ascii="仿宋_GB2312" w:hAnsi="仿宋_GB2312" w:eastAsia="仿宋_GB2312" w:cs="仿宋_GB2312"/>
                <w:color w:val="000000"/>
                <w:sz w:val="24"/>
              </w:rPr>
              <w:t>，搭建日光温室大棚20座，仓库1座；推进安良镇郏县食用菌种植示范区建设，在镇域范围内建造标准化香菇种植大棚1000座，并配套相关设施；实施堂街镇河南宝象山农业科技开发有限公司羊肚菌种植项目、推进王集乡韭菜种植基地建设。</w:t>
            </w:r>
          </w:p>
        </w:tc>
      </w:tr>
    </w:tbl>
    <w:p>
      <w:pPr>
        <w:adjustRightInd w:val="0"/>
        <w:snapToGrid w:val="0"/>
        <w:spacing w:line="360" w:lineRule="auto"/>
        <w:ind w:firstLine="600" w:firstLineChars="200"/>
        <w:rPr>
          <w:rFonts w:ascii="Calibri" w:hAnsi="Calibri" w:eastAsia="仿宋" w:cs="黑体"/>
          <w:color w:val="000000"/>
          <w:sz w:val="30"/>
          <w:szCs w:val="30"/>
        </w:rPr>
      </w:pPr>
    </w:p>
    <w:p>
      <w:pPr>
        <w:pStyle w:val="43"/>
        <w:spacing w:afterLines="50"/>
        <w:rPr>
          <w:color w:val="000000"/>
          <w:szCs w:val="32"/>
        </w:rPr>
      </w:pPr>
      <w:bookmarkStart w:id="135" w:name="_Toc62991766"/>
      <w:bookmarkStart w:id="136" w:name="_Toc20552"/>
      <w:r>
        <w:rPr>
          <w:rFonts w:hint="eastAsia"/>
          <w:b/>
          <w:bCs/>
          <w:color w:val="000000"/>
          <w:sz w:val="36"/>
          <w:szCs w:val="36"/>
        </w:rPr>
        <w:t xml:space="preserve">第三节  </w:t>
      </w:r>
      <w:r>
        <w:rPr>
          <w:b/>
          <w:bCs/>
          <w:color w:val="000000"/>
          <w:sz w:val="36"/>
          <w:szCs w:val="36"/>
        </w:rPr>
        <w:t>加快</w:t>
      </w:r>
      <w:r>
        <w:rPr>
          <w:rFonts w:hint="eastAsia"/>
          <w:b/>
          <w:bCs/>
          <w:color w:val="000000"/>
          <w:sz w:val="36"/>
          <w:szCs w:val="36"/>
        </w:rPr>
        <w:t>现代农业发展步伐</w:t>
      </w:r>
      <w:bookmarkEnd w:id="135"/>
      <w:bookmarkEnd w:id="136"/>
    </w:p>
    <w:p>
      <w:pPr>
        <w:pStyle w:val="29"/>
        <w:spacing w:line="580" w:lineRule="exact"/>
        <w:ind w:firstLine="640"/>
        <w:rPr>
          <w:rFonts w:hint="eastAsia" w:ascii="仿宋_GB2312" w:hAnsi="仿宋_GB2312" w:cs="仿宋_GB2312"/>
          <w:color w:val="000000"/>
          <w:szCs w:val="32"/>
        </w:rPr>
      </w:pPr>
      <w:r>
        <w:rPr>
          <w:rFonts w:hint="eastAsia" w:ascii="仿宋_GB2312" w:hAnsi="仿宋_GB2312" w:cs="仿宋_GB2312"/>
          <w:color w:val="000000"/>
          <w:szCs w:val="32"/>
        </w:rPr>
        <w:t>实施绿色种植、生态养殖、种养结合、工农互补现代农业发展战略，建设全国绿色食品原料标准化生产基地，实行“统一优良品种、统一生产操作规程、统一投入品供应和使用、统一田间管理、统一收获”五统一生产管理制度和绿色食品基地农业投入品市场准入制度。强化农产品质量安全监管，完善农产品质量追溯体系，大力开展“三品一标”认证，加快“鹰城名优”等品牌创建，争创国家级农产品质量安全县。大力发展农副产品深加工产业，拉长产业链条、提升产品质量，打造特色品牌，依托贯通农博城，建设中原重要的绿色食品产销基地。将5G建设与农业产业园建设相结合，利用互联网大数据，不断调整和优化产业结构，推动科技创新，增强产品竞争力。大力发展林业、林果、林下“三林”经济，推动林地“资源”变“资本”，实现生态效益、经济效益、社会效益的有机统一。</w:t>
      </w:r>
    </w:p>
    <w:p>
      <w:pPr>
        <w:pStyle w:val="29"/>
        <w:spacing w:line="580" w:lineRule="exact"/>
        <w:ind w:left="0" w:leftChars="0" w:firstLine="0" w:firstLineChars="0"/>
        <w:rPr>
          <w:rFonts w:hint="eastAsia" w:ascii="仿宋_GB2312" w:hAnsi="仿宋_GB2312" w:cs="仿宋_GB2312"/>
          <w:color w:val="000000"/>
          <w:szCs w:val="32"/>
        </w:rPr>
      </w:pPr>
    </w:p>
    <w:tbl>
      <w:tblPr>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8"/>
      </w:tblGrid>
      <w:tr>
        <w:trPr>
          <w:trHeight w:val="598" w:hRule="atLeast"/>
          <w:jc w:val="center"/>
        </w:trPr>
        <w:tc>
          <w:tcPr>
            <w:tcW w:w="8208" w:type="dxa"/>
            <w:vAlign w:val="center"/>
          </w:tcPr>
          <w:p>
            <w:pPr>
              <w:pStyle w:val="3"/>
              <w:spacing w:line="400" w:lineRule="exact"/>
              <w:jc w:val="center"/>
              <w:rPr>
                <w:rFonts w:ascii="仿宋_GB2312" w:hAnsi="Calibri" w:eastAsia="仿宋_GB2312" w:cs="黑体"/>
                <w:b/>
                <w:color w:val="000000"/>
                <w:sz w:val="28"/>
                <w:szCs w:val="28"/>
              </w:rPr>
            </w:pPr>
            <w:r>
              <w:rPr>
                <w:rFonts w:hint="eastAsia" w:ascii="仿宋_GB2312" w:hAnsi="楷体" w:eastAsia="仿宋_GB2312" w:cs="仿宋"/>
                <w:b/>
                <w:bCs/>
                <w:color w:val="000000"/>
                <w:kern w:val="0"/>
                <w:sz w:val="24"/>
                <w:szCs w:val="24"/>
              </w:rPr>
              <w:t>专栏12：五大农业产业化集群工程重点项目</w:t>
            </w:r>
          </w:p>
        </w:tc>
      </w:tr>
      <w:tr>
        <w:trPr>
          <w:jc w:val="center"/>
        </w:trPr>
        <w:tc>
          <w:tcPr>
            <w:tcW w:w="8208" w:type="dxa"/>
            <w:vAlign w:val="center"/>
          </w:tcPr>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肉品产业化集群。</w:t>
            </w:r>
            <w:r>
              <w:rPr>
                <w:rFonts w:hint="eastAsia" w:ascii="仿宋_GB2312" w:hAnsi="仿宋_GB2312" w:eastAsia="仿宋_GB2312" w:cs="仿宋_GB2312"/>
                <w:color w:val="000000"/>
                <w:sz w:val="24"/>
              </w:rPr>
              <w:t>核心位于王集乡、龙山街道办事处、姚庄</w:t>
            </w:r>
            <w:r>
              <w:rPr>
                <w:rFonts w:hint="eastAsia" w:ascii="仿宋_GB2312" w:hAnsi="仿宋_GB2312" w:eastAsia="仿宋_GB2312" w:cs="仿宋_GB2312"/>
                <w:color w:val="000000"/>
                <w:sz w:val="24"/>
                <w:lang w:val="en-US" w:eastAsia="zh-CN"/>
              </w:rPr>
              <w:t>回族</w:t>
            </w:r>
            <w:r>
              <w:rPr>
                <w:rFonts w:hint="eastAsia" w:ascii="仿宋_GB2312" w:hAnsi="仿宋_GB2312" w:eastAsia="仿宋_GB2312" w:cs="仿宋_GB2312"/>
                <w:color w:val="000000"/>
                <w:sz w:val="24"/>
              </w:rPr>
              <w:t>乡、长桥镇、白庙乡、冢头镇、薛店镇、堂街镇，覆盖全县，形成平顶山瑞宝红牛、郏县全民牧业、郏县奔腾养殖、郏县正达牧业等龙头企业，加快现代畜禽养殖业发展，着力发展</w:t>
            </w:r>
            <w:r>
              <w:rPr>
                <w:rFonts w:hint="eastAsia" w:ascii="仿宋_GB2312" w:hAnsi="仿宋_GB2312" w:eastAsia="仿宋_GB2312" w:cs="仿宋_GB2312"/>
                <w:color w:val="000000"/>
                <w:sz w:val="24"/>
                <w:lang w:val="en-US" w:eastAsia="zh-CN"/>
              </w:rPr>
              <w:t>郏县</w:t>
            </w:r>
            <w:r>
              <w:rPr>
                <w:rFonts w:hint="eastAsia" w:ascii="仿宋_GB2312" w:hAnsi="仿宋_GB2312" w:eastAsia="仿宋_GB2312" w:cs="仿宋_GB2312"/>
                <w:color w:val="000000"/>
                <w:sz w:val="24"/>
              </w:rPr>
              <w:t>红牛、肉牛、生猪、蛋鸡等，形成区域化、规模化、标准化、产业化、生态化、科技化生产格局，建成具有区域性优势、地方性特色和核心竞争力的现代畜牧产业。</w:t>
            </w:r>
          </w:p>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果蔬生产产业化集群。</w:t>
            </w:r>
            <w:r>
              <w:rPr>
                <w:rFonts w:hint="eastAsia" w:ascii="仿宋_GB2312" w:hAnsi="仿宋_GB2312" w:eastAsia="仿宋_GB2312" w:cs="仿宋_GB2312"/>
                <w:color w:val="000000"/>
                <w:sz w:val="24"/>
              </w:rPr>
              <w:t>核心位于冢头镇、长桥镇、龙山街道办事处、</w:t>
            </w:r>
            <w:r>
              <w:rPr>
                <w:rFonts w:hint="eastAsia" w:ascii="仿宋_GB2312" w:hAnsi="仿宋_GB2312" w:eastAsia="仿宋_GB2312" w:cs="仿宋_GB2312"/>
                <w:color w:val="000000"/>
                <w:sz w:val="24"/>
                <w:lang w:val="en-US" w:eastAsia="zh-CN"/>
              </w:rPr>
              <w:t>广阔天地</w:t>
            </w:r>
            <w:r>
              <w:rPr>
                <w:rFonts w:hint="eastAsia" w:ascii="仿宋_GB2312" w:hAnsi="仿宋_GB2312" w:eastAsia="仿宋_GB2312" w:cs="仿宋_GB2312"/>
                <w:color w:val="000000"/>
                <w:sz w:val="24"/>
              </w:rPr>
              <w:t>乡、渣园乡、薛店镇、安良镇、王集乡，覆盖全县，区内主要龙头企业有平顶山市远航实业有限公司、河南省中原红饮料有限公司、河南鑫龙蔬菜种植合作社、郏县瑞丰源种植专业合作社、郏县新军蔬菜种植专业合作社等，主要产品有酱菜、干菜、青菜等。</w:t>
            </w:r>
          </w:p>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面品产业化集群。</w:t>
            </w:r>
            <w:r>
              <w:rPr>
                <w:rFonts w:hint="eastAsia" w:ascii="仿宋_GB2312" w:hAnsi="仿宋_GB2312" w:eastAsia="仿宋_GB2312" w:cs="仿宋_GB2312"/>
                <w:color w:val="000000"/>
                <w:sz w:val="24"/>
              </w:rPr>
              <w:t>核心位于东城区街道办事处、堂街镇、</w:t>
            </w:r>
            <w:r>
              <w:rPr>
                <w:rFonts w:hint="eastAsia" w:ascii="仿宋_GB2312" w:hAnsi="仿宋_GB2312" w:eastAsia="仿宋_GB2312" w:cs="仿宋_GB2312"/>
                <w:color w:val="000000"/>
                <w:sz w:val="24"/>
                <w:lang w:val="en-US" w:eastAsia="zh-CN"/>
              </w:rPr>
              <w:t>广阔天地</w:t>
            </w:r>
            <w:r>
              <w:rPr>
                <w:rFonts w:hint="eastAsia" w:ascii="仿宋_GB2312" w:hAnsi="仿宋_GB2312" w:eastAsia="仿宋_GB2312" w:cs="仿宋_GB2312"/>
                <w:color w:val="000000"/>
                <w:sz w:val="24"/>
              </w:rPr>
              <w:t>乡、薛店镇，覆盖全县，主要龙头企业有平顶山市嘉星面粉有限公司、郏县润田小麦种植专业合作社、河南福运旺开心农场生态食品有限公司等。主要产品有面粉、挂面、饼干等。</w:t>
            </w:r>
          </w:p>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饮品产业化集群。</w:t>
            </w:r>
            <w:r>
              <w:rPr>
                <w:rFonts w:hint="eastAsia" w:ascii="仿宋_GB2312" w:hAnsi="仿宋_GB2312" w:eastAsia="仿宋_GB2312" w:cs="仿宋_GB2312"/>
                <w:color w:val="000000"/>
                <w:sz w:val="24"/>
              </w:rPr>
              <w:t>核心位于郏县县城，覆盖全县，主要龙头企业有河南省中原红饮料有限公司、东坡酒业集团公司等，主要产品有饮料、荞麦酒等。</w:t>
            </w:r>
          </w:p>
          <w:p>
            <w:pPr>
              <w:widowControl w:val="0"/>
              <w:wordWrap/>
              <w:adjustRightInd/>
              <w:snapToGrid/>
              <w:spacing w:line="400" w:lineRule="exact"/>
              <w:ind w:firstLine="482" w:firstLineChars="200"/>
              <w:textAlignment w:val="auto"/>
              <w:rPr>
                <w:rFonts w:eastAsia="仿宋"/>
                <w:color w:val="000000"/>
                <w:kern w:val="0"/>
                <w:sz w:val="24"/>
              </w:rPr>
            </w:pPr>
            <w:r>
              <w:rPr>
                <w:rFonts w:hint="eastAsia" w:ascii="仿宋_GB2312" w:hAnsi="仿宋_GB2312" w:eastAsia="仿宋_GB2312" w:cs="仿宋_GB2312"/>
                <w:b/>
                <w:bCs/>
                <w:color w:val="000000"/>
                <w:sz w:val="24"/>
              </w:rPr>
              <w:t>中药材产业化集群。</w:t>
            </w:r>
            <w:r>
              <w:rPr>
                <w:rFonts w:hint="eastAsia" w:ascii="仿宋_GB2312" w:hAnsi="仿宋_GB2312" w:eastAsia="仿宋_GB2312" w:cs="仿宋_GB2312"/>
                <w:color w:val="000000"/>
                <w:sz w:val="24"/>
              </w:rPr>
              <w:t>核心位于长桥镇、冢头镇、白庙乡、安良镇，覆盖全县，主要龙头企业有中澜艾健康、和林实业有限公司等，主要产品是中药材。</w:t>
            </w:r>
          </w:p>
        </w:tc>
      </w:tr>
    </w:tbl>
    <w:p>
      <w:pPr>
        <w:rPr>
          <w:color w:val="000000"/>
        </w:rPr>
      </w:pPr>
    </w:p>
    <w:p>
      <w:pPr>
        <w:pStyle w:val="43"/>
        <w:spacing w:afterLines="50"/>
        <w:rPr>
          <w:b/>
          <w:bCs/>
          <w:color w:val="000000"/>
          <w:sz w:val="36"/>
          <w:szCs w:val="36"/>
        </w:rPr>
      </w:pPr>
      <w:bookmarkStart w:id="137" w:name="_Toc62991767"/>
      <w:bookmarkStart w:id="138" w:name="_Toc3653"/>
      <w:r>
        <w:rPr>
          <w:rFonts w:hint="eastAsia"/>
          <w:b/>
          <w:bCs/>
          <w:color w:val="000000"/>
          <w:sz w:val="36"/>
          <w:szCs w:val="36"/>
        </w:rPr>
        <w:t>第四节  推动农村一二三产融合发展</w:t>
      </w:r>
      <w:bookmarkEnd w:id="137"/>
      <w:bookmarkEnd w:id="138"/>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以拉长产业链、提升价值链、拓宽增收链为主线，积极探索农村一二三产融合发展路径，努力提升产业规模效应，打造具有郏县特色的农村产业带。充分挖掘农业多重功能，加快农工、农旅、农贸、农文等深度融合，发展漫游休憩、民俗体验、农事采摘和休闲娱乐等新业态。实施都市生态农业发展工程，统筹观光功能和生态功能，大力发展休闲观光、创意农业等农业新型业态，探索以安良镇马头岭万亩示范园为主的森林公园模式，以安良镇龙山福苑、郏县晟安现代农业示范园、</w:t>
      </w:r>
      <w:r>
        <w:rPr>
          <w:rFonts w:hint="eastAsia" w:ascii="仿宋_GB2312" w:hAnsi="仿宋_GB2312" w:cs="仿宋_GB2312"/>
          <w:color w:val="000000"/>
          <w:szCs w:val="32"/>
          <w:lang w:val="en-US" w:eastAsia="zh-CN"/>
        </w:rPr>
        <w:t>广阔天地乡</w:t>
      </w:r>
      <w:r>
        <w:rPr>
          <w:rFonts w:hint="eastAsia" w:ascii="仿宋_GB2312" w:hAnsi="仿宋_GB2312" w:cs="仿宋_GB2312"/>
          <w:color w:val="000000"/>
          <w:szCs w:val="32"/>
        </w:rPr>
        <w:t>河南绿博农业生态科技示范园为主的休闲农场和观光农园模式，以姚庄</w:t>
      </w:r>
      <w:r>
        <w:rPr>
          <w:rFonts w:hint="eastAsia" w:ascii="仿宋_GB2312" w:hAnsi="仿宋_GB2312" w:cs="仿宋_GB2312"/>
          <w:color w:val="000000"/>
          <w:szCs w:val="32"/>
          <w:lang w:val="en-US" w:eastAsia="zh-CN"/>
        </w:rPr>
        <w:t>回族</w:t>
      </w:r>
      <w:r>
        <w:rPr>
          <w:rFonts w:hint="eastAsia" w:ascii="仿宋_GB2312" w:hAnsi="仿宋_GB2312" w:cs="仿宋_GB2312"/>
          <w:color w:val="000000"/>
          <w:szCs w:val="32"/>
        </w:rPr>
        <w:t>乡农耕体验、花卉苗木、小杂果采摘为主的市民农园模式等都市生态农业发展模式。加强与优势企业合作，支持农副产品精深加工，延伸产业链条，促进农业企业多产业融合发展。科学构建紧密的企农利益联结机制，创新发展订单农业，实施规模化种植壮大农业产业，坚定不移走高质高效的现代化农业发展道路。</w:t>
      </w:r>
    </w:p>
    <w:tbl>
      <w:tblPr>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2"/>
      </w:tblGrid>
      <w:tr>
        <w:trPr>
          <w:trHeight w:val="629" w:hRule="atLeast"/>
          <w:jc w:val="center"/>
        </w:trPr>
        <w:tc>
          <w:tcPr>
            <w:tcW w:w="8332" w:type="dxa"/>
            <w:vAlign w:val="center"/>
          </w:tcPr>
          <w:p>
            <w:pPr>
              <w:pStyle w:val="3"/>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kern w:val="0"/>
                <w:sz w:val="24"/>
                <w:szCs w:val="24"/>
              </w:rPr>
              <w:t>专栏13：农业产业融合重点项目</w:t>
            </w:r>
          </w:p>
        </w:tc>
      </w:tr>
      <w:tr>
        <w:trPr>
          <w:trHeight w:val="389" w:hRule="atLeast"/>
          <w:jc w:val="center"/>
        </w:trPr>
        <w:tc>
          <w:tcPr>
            <w:tcW w:w="8332" w:type="dxa"/>
            <w:vAlign w:val="center"/>
          </w:tcPr>
          <w:p>
            <w:pPr>
              <w:widowControl/>
              <w:spacing w:line="400" w:lineRule="exact"/>
              <w:ind w:firstLine="48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sz w:val="24"/>
              </w:rPr>
              <w:t>重点实施莲花山生态游园区项目，支持</w:t>
            </w:r>
            <w:r>
              <w:rPr>
                <w:rFonts w:hint="eastAsia" w:ascii="仿宋_GB2312" w:hAnsi="仿宋_GB2312" w:eastAsia="仿宋_GB2312" w:cs="仿宋_GB2312"/>
                <w:bCs/>
                <w:color w:val="000000"/>
                <w:kern w:val="0"/>
                <w:sz w:val="24"/>
              </w:rPr>
              <w:t>绿禾高新农业示范园区</w:t>
            </w:r>
            <w:r>
              <w:rPr>
                <w:rFonts w:hint="eastAsia" w:ascii="仿宋_GB2312" w:hAnsi="仿宋_GB2312" w:eastAsia="仿宋_GB2312" w:cs="仿宋_GB2312"/>
                <w:color w:val="000000"/>
                <w:sz w:val="24"/>
              </w:rPr>
              <w:t>、“吕沟花果山”田园综合体建设；整修改造窑洞建设特色民宿，建设一批特色农家院落，推进“红石崖旅游资源”开发综合体项目；实施黄道镇乡村旅游开发项目，培育特色乡村旅游基地；在姚庄回族乡推进京瑞庄园文化综合体、林丰源园林娱乐产业园项目；实施薛店镇北部岗区5000亩农田林网工程建设项目；在冢头镇建设出口蔬菜产业园区；推进郏县面粉加工产业园区、白庙乡红薯淀粉加工产业园区、长桥蔬菜加工产业园区、堂街镇现代烟叶示范园区、白庙乡三粉加工项目二期等项目建设。</w:t>
            </w:r>
          </w:p>
        </w:tc>
      </w:tr>
    </w:tbl>
    <w:p>
      <w:pPr>
        <w:spacing w:line="600" w:lineRule="exact"/>
        <w:ind w:firstLine="600" w:firstLineChars="200"/>
        <w:rPr>
          <w:rFonts w:ascii="Calibri" w:hAnsi="Calibri" w:eastAsia="仿宋" w:cs="黑体"/>
          <w:color w:val="000000"/>
          <w:sz w:val="30"/>
          <w:szCs w:val="30"/>
        </w:rPr>
      </w:pPr>
    </w:p>
    <w:p>
      <w:pPr>
        <w:pStyle w:val="42"/>
        <w:spacing w:beforeLines="50" w:afterLines="50" w:line="600" w:lineRule="exact"/>
        <w:rPr>
          <w:b w:val="0"/>
          <w:bCs/>
          <w:color w:val="000000"/>
          <w:szCs w:val="32"/>
        </w:rPr>
      </w:pPr>
      <w:bookmarkStart w:id="139" w:name="_Toc58184696"/>
      <w:bookmarkStart w:id="140" w:name="_Toc62991768"/>
      <w:bookmarkStart w:id="141" w:name="_Toc192"/>
      <w:r>
        <w:rPr>
          <w:rFonts w:hint="eastAsia"/>
          <w:b w:val="0"/>
          <w:bCs/>
          <w:color w:val="000000"/>
          <w:szCs w:val="32"/>
        </w:rPr>
        <w:t>第二章  提升现代农业竞争能力</w:t>
      </w:r>
      <w:bookmarkEnd w:id="139"/>
      <w:bookmarkEnd w:id="140"/>
      <w:bookmarkEnd w:id="141"/>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以提高农产品质量为导向，以农业科技创新为支撑，积极发展智慧农业，不断增强农业综合效益和竞争力。</w:t>
      </w:r>
    </w:p>
    <w:p>
      <w:pPr>
        <w:pStyle w:val="43"/>
        <w:spacing w:beforeLines="50" w:afterLines="50" w:line="600" w:lineRule="exact"/>
        <w:rPr>
          <w:b/>
          <w:bCs/>
          <w:color w:val="000000"/>
          <w:sz w:val="36"/>
          <w:szCs w:val="36"/>
        </w:rPr>
      </w:pPr>
      <w:bookmarkStart w:id="142" w:name="_Toc58184697"/>
      <w:bookmarkStart w:id="143" w:name="_Toc26284"/>
      <w:bookmarkStart w:id="144" w:name="_Toc62991769"/>
      <w:r>
        <w:rPr>
          <w:rFonts w:hint="eastAsia"/>
          <w:b/>
          <w:bCs/>
          <w:color w:val="000000"/>
          <w:sz w:val="36"/>
          <w:szCs w:val="36"/>
        </w:rPr>
        <w:t xml:space="preserve">第一节 </w:t>
      </w:r>
      <w:r>
        <w:rPr>
          <w:b/>
          <w:bCs/>
          <w:color w:val="000000"/>
          <w:sz w:val="36"/>
          <w:szCs w:val="36"/>
        </w:rPr>
        <w:t xml:space="preserve"> </w:t>
      </w:r>
      <w:r>
        <w:rPr>
          <w:rFonts w:hint="eastAsia"/>
          <w:b/>
          <w:bCs/>
          <w:color w:val="000000"/>
          <w:sz w:val="36"/>
          <w:szCs w:val="36"/>
        </w:rPr>
        <w:t>大力推进农业科技创新</w:t>
      </w:r>
      <w:bookmarkEnd w:id="142"/>
      <w:bookmarkEnd w:id="143"/>
      <w:bookmarkEnd w:id="144"/>
    </w:p>
    <w:p>
      <w:pPr>
        <w:pStyle w:val="29"/>
        <w:ind w:firstLine="640"/>
        <w:rPr>
          <w:rFonts w:ascii="仿宋_GB2312" w:hAnsi="仿宋_GB2312" w:cs="仿宋_GB2312"/>
          <w:color w:val="000000"/>
          <w:szCs w:val="32"/>
        </w:rPr>
      </w:pPr>
      <w:bookmarkStart w:id="145" w:name="_Toc58184698"/>
      <w:r>
        <w:rPr>
          <w:rFonts w:hint="eastAsia" w:ascii="仿宋_GB2312" w:hAnsi="仿宋_GB2312" w:cs="仿宋_GB2312"/>
          <w:color w:val="000000"/>
          <w:szCs w:val="32"/>
        </w:rPr>
        <w:t>积极推动“藏粮于技”，建立健全农业科技创新体系，加快农业科技成果应用转化。健全农技服务推广体系，推行“科研试验基地＋区域示范基地＋基层推广服务体系＋农户”的农技推广服务新模式，加快农业科技成果应用转化和先进实用技术推广应用。将5G建设与农业产业园建设相结合，利用互联网大数据，不断调整和优化产业结构，推动科技创新，增强产品竞争力。实行科技特派员制度，组织农业科技人员深入村庄创办科技型企业和专业技术协会。建立现代气象为农服务体系，加强极端灾害天气应对，强化灾后技术措施宣传推广。强化地方特色良种培育推广，加强种业基础性</w:t>
      </w:r>
      <w:r>
        <w:rPr>
          <w:rFonts w:hint="eastAsia" w:ascii="仿宋_GB2312" w:hAnsi="仿宋_GB2312" w:cs="仿宋_GB2312"/>
          <w:color w:val="000000"/>
          <w:spacing w:val="-6"/>
          <w:szCs w:val="32"/>
        </w:rPr>
        <w:t>、公益性科研平台建设，不断提升小麦、玉米、花生、果蔬等农作物及郏县红牛育种供应能力。实施郏县红牛遗传改良计划，应用性控冻精等高新生物技术，规范开展生产性能测定</w:t>
      </w:r>
      <w:r>
        <w:rPr>
          <w:rFonts w:hint="eastAsia" w:ascii="仿宋_GB2312" w:hAnsi="仿宋_GB2312" w:cs="仿宋_GB2312"/>
          <w:color w:val="000000"/>
          <w:szCs w:val="32"/>
        </w:rPr>
        <w:t>工作，加快良种扩繁速度，不断提高育种水平和供种能力。</w:t>
      </w:r>
    </w:p>
    <w:p>
      <w:pPr>
        <w:pStyle w:val="43"/>
        <w:spacing w:beforeLines="50" w:afterLines="50"/>
        <w:rPr>
          <w:b/>
          <w:bCs/>
          <w:color w:val="000000"/>
          <w:sz w:val="36"/>
          <w:szCs w:val="36"/>
        </w:rPr>
      </w:pPr>
      <w:bookmarkStart w:id="146" w:name="_Toc62991770"/>
      <w:bookmarkStart w:id="147" w:name="_Toc29887"/>
      <w:r>
        <w:rPr>
          <w:rFonts w:hint="eastAsia"/>
          <w:b/>
          <w:bCs/>
          <w:color w:val="000000"/>
          <w:sz w:val="36"/>
          <w:szCs w:val="36"/>
        </w:rPr>
        <w:t xml:space="preserve">第二节 </w:t>
      </w:r>
      <w:r>
        <w:rPr>
          <w:b/>
          <w:bCs/>
          <w:color w:val="000000"/>
          <w:sz w:val="36"/>
          <w:szCs w:val="36"/>
        </w:rPr>
        <w:t xml:space="preserve"> </w:t>
      </w:r>
      <w:r>
        <w:rPr>
          <w:rFonts w:hint="eastAsia"/>
          <w:b/>
          <w:bCs/>
          <w:color w:val="000000"/>
          <w:sz w:val="36"/>
          <w:szCs w:val="36"/>
        </w:rPr>
        <w:t>创新农业生产</w:t>
      </w:r>
      <w:bookmarkEnd w:id="145"/>
      <w:bookmarkEnd w:id="146"/>
      <w:r>
        <w:rPr>
          <w:rFonts w:hint="eastAsia"/>
          <w:b/>
          <w:bCs/>
          <w:color w:val="000000"/>
          <w:sz w:val="36"/>
          <w:szCs w:val="36"/>
        </w:rPr>
        <w:t>组织形式</w:t>
      </w:r>
      <w:bookmarkEnd w:id="147"/>
    </w:p>
    <w:p>
      <w:pPr>
        <w:pStyle w:val="29"/>
        <w:spacing w:line="580" w:lineRule="exact"/>
        <w:ind w:firstLine="640"/>
        <w:rPr>
          <w:rFonts w:ascii="仿宋_GB2312" w:hAnsi="仿宋_GB2312" w:cs="仿宋_GB2312"/>
          <w:color w:val="000000"/>
          <w:szCs w:val="32"/>
        </w:rPr>
      </w:pPr>
      <w:bookmarkStart w:id="148" w:name="_Toc58184699"/>
      <w:r>
        <w:rPr>
          <w:rFonts w:hint="eastAsia" w:ascii="仿宋_GB2312" w:hAnsi="仿宋_GB2312" w:cs="仿宋_GB2312"/>
          <w:color w:val="000000"/>
          <w:szCs w:val="32"/>
        </w:rPr>
        <w:t>改变传统农业生产方式，提升农业机械化、智能化水平，促进现代农业提质提速发展。实施农业生产全程机械化全县推进行动，强化农机技术推广机构建设，推进农业“机器换人”，引导农机社会化服务，组织开展订单作业，土地全程托管等“田保姆”式服务，推动粮棉油等主要农作物生产全程机械化，推广发展大型拖拉机及复式作业机具、大型高效联合收割机等高端农业装备，提升农机装备智能化水平。推动农业“设施换地”，因地制宜发展现代化农业设施，支持各类农业生产主体因地制宜发展钢架大棚、玻璃温室、光伏玻璃温室大棚等现代化农业设施，推广应用立体栽植、多层养殖、控温控湿、物联网等先进适用技术装备，提高水土肥利用率。</w:t>
      </w:r>
    </w:p>
    <w:p>
      <w:pPr>
        <w:pStyle w:val="43"/>
        <w:spacing w:afterLines="50"/>
        <w:rPr>
          <w:b/>
          <w:bCs/>
          <w:color w:val="000000"/>
          <w:sz w:val="36"/>
          <w:szCs w:val="36"/>
        </w:rPr>
      </w:pPr>
      <w:bookmarkStart w:id="149" w:name="_Toc62991771"/>
      <w:bookmarkStart w:id="150" w:name="_Toc25391"/>
      <w:r>
        <w:rPr>
          <w:rFonts w:hint="eastAsia"/>
          <w:b/>
          <w:bCs/>
          <w:color w:val="000000"/>
          <w:sz w:val="36"/>
          <w:szCs w:val="36"/>
        </w:rPr>
        <w:t xml:space="preserve">第三节 </w:t>
      </w:r>
      <w:bookmarkEnd w:id="148"/>
      <w:r>
        <w:rPr>
          <w:b/>
          <w:bCs/>
          <w:color w:val="000000"/>
          <w:sz w:val="36"/>
          <w:szCs w:val="36"/>
        </w:rPr>
        <w:t xml:space="preserve"> </w:t>
      </w:r>
      <w:r>
        <w:rPr>
          <w:rFonts w:hint="eastAsia"/>
          <w:b/>
          <w:bCs/>
          <w:color w:val="000000"/>
          <w:sz w:val="36"/>
          <w:szCs w:val="36"/>
        </w:rPr>
        <w:t>培育新型农业经济主体</w:t>
      </w:r>
      <w:bookmarkEnd w:id="149"/>
      <w:bookmarkEnd w:id="150"/>
    </w:p>
    <w:p>
      <w:pPr>
        <w:pStyle w:val="28"/>
        <w:spacing w:line="570" w:lineRule="exact"/>
        <w:ind w:firstLine="640"/>
        <w:rPr>
          <w:rFonts w:ascii="仿宋_GB2312" w:hAnsi="仿宋_GB2312" w:cs="仿宋_GB2312"/>
          <w:color w:val="000000"/>
          <w:szCs w:val="32"/>
        </w:rPr>
      </w:pPr>
      <w:r>
        <w:rPr>
          <w:rFonts w:hint="eastAsia" w:ascii="仿宋_GB2312" w:hAnsi="仿宋_GB2312" w:cs="仿宋_GB2312"/>
          <w:color w:val="000000"/>
          <w:szCs w:val="32"/>
        </w:rPr>
        <w:t>坚持家</w:t>
      </w:r>
      <w:r>
        <w:rPr>
          <w:rFonts w:hint="eastAsia" w:ascii="仿宋_GB2312" w:hAnsi="仿宋_GB2312" w:cs="仿宋_GB2312"/>
          <w:color w:val="000000"/>
          <w:spacing w:val="-6"/>
          <w:szCs w:val="32"/>
        </w:rPr>
        <w:t>庭经营基础性地位，培育壮</w:t>
      </w:r>
      <w:r>
        <w:rPr>
          <w:rFonts w:hint="eastAsia" w:ascii="仿宋_GB2312" w:hAnsi="仿宋_GB2312" w:cs="仿宋_GB2312"/>
          <w:color w:val="000000"/>
          <w:szCs w:val="32"/>
        </w:rPr>
        <w:t>大新型农业经营主体，发展多种形式适度规模经营，健全紧密型利益联结机制，推动家庭经营、集体经营、合作经营、企业经营等共同发展。支持家庭农场通过土地流转从事适度规模经营，鼓励发展经营规模100-300亩的家庭农场。实施农民合作社示范社提升工程，推动农民合作社标准化、品牌化、规范化运营。创新农民合作社发展模式，支持兴办专业合作、股份合作、社区合作等多元化、多类型农民合作社。采用公司+农户、合作社带农户等多种形式，完善县域特色优势农产品供应链，做大做强农业产业化龙头企业。到2025年，全县农民专业合作社发展到1500家，其中省级以上农民专业合作社示范社发展到30家以上。家庭农场发展到数量力争达到1000家，其中县级以上示范家庭农场达到100家</w:t>
      </w:r>
      <w:r>
        <w:rPr>
          <w:rFonts w:ascii="仿宋_GB2312" w:hAnsi="仿宋_GB2312" w:cs="仿宋_GB2312"/>
          <w:color w:val="000000"/>
          <w:szCs w:val="32"/>
        </w:rPr>
        <w:t>。</w:t>
      </w:r>
      <w:r>
        <w:rPr>
          <w:rFonts w:hint="eastAsia" w:ascii="仿宋_GB2312" w:hAnsi="仿宋_GB2312" w:cs="仿宋_GB2312"/>
          <w:color w:val="000000"/>
          <w:szCs w:val="32"/>
        </w:rPr>
        <w:t>市级以上农业产业化龙头企业达到60家。</w:t>
      </w:r>
    </w:p>
    <w:p>
      <w:pPr>
        <w:pStyle w:val="42"/>
        <w:spacing w:beforeLines="50" w:afterLines="50" w:line="570" w:lineRule="exact"/>
        <w:rPr>
          <w:b w:val="0"/>
          <w:bCs/>
          <w:color w:val="000000"/>
          <w:szCs w:val="32"/>
        </w:rPr>
      </w:pPr>
      <w:bookmarkStart w:id="151" w:name="_Toc58184701"/>
      <w:bookmarkStart w:id="152" w:name="_Toc62991772"/>
      <w:bookmarkStart w:id="153" w:name="_Toc1370"/>
      <w:r>
        <w:rPr>
          <w:rFonts w:hint="eastAsia"/>
          <w:b w:val="0"/>
          <w:bCs/>
          <w:color w:val="000000"/>
          <w:szCs w:val="32"/>
        </w:rPr>
        <w:t xml:space="preserve">第三章 </w:t>
      </w:r>
      <w:bookmarkEnd w:id="151"/>
      <w:r>
        <w:rPr>
          <w:rFonts w:hint="eastAsia"/>
          <w:b w:val="0"/>
          <w:bCs/>
          <w:color w:val="000000"/>
          <w:szCs w:val="32"/>
        </w:rPr>
        <w:t>实施乡村建设行动</w:t>
      </w:r>
      <w:bookmarkEnd w:id="152"/>
      <w:bookmarkEnd w:id="153"/>
    </w:p>
    <w:p>
      <w:pPr>
        <w:pStyle w:val="29"/>
        <w:spacing w:line="570" w:lineRule="exact"/>
        <w:ind w:firstLine="640"/>
        <w:rPr>
          <w:rFonts w:ascii="仿宋_GB2312" w:hAnsi="仿宋_GB2312" w:cs="仿宋_GB2312"/>
          <w:color w:val="000000"/>
          <w:szCs w:val="32"/>
        </w:rPr>
      </w:pPr>
      <w:bookmarkStart w:id="154" w:name="_Toc58184702"/>
      <w:r>
        <w:rPr>
          <w:rFonts w:hint="eastAsia" w:ascii="仿宋_GB2312" w:hAnsi="仿宋_GB2312" w:cs="仿宋_GB2312"/>
          <w:color w:val="000000"/>
          <w:szCs w:val="32"/>
        </w:rPr>
        <w:t>把乡村建设摆在社会主义现代化建设的重要位置，统筹县域城镇和村庄规划建设，做好秀美乡村建设顶层设计，按照打造中原民居的思路，对全县所有村落进行分类打造，因地制宜改善农村人居环境。</w:t>
      </w:r>
    </w:p>
    <w:p>
      <w:pPr>
        <w:pStyle w:val="43"/>
        <w:spacing w:beforeLines="50" w:afterLines="50" w:line="570" w:lineRule="exact"/>
        <w:rPr>
          <w:b/>
          <w:bCs/>
          <w:color w:val="000000"/>
          <w:sz w:val="36"/>
          <w:szCs w:val="36"/>
        </w:rPr>
      </w:pPr>
      <w:bookmarkStart w:id="155" w:name="_Toc62991773"/>
      <w:bookmarkStart w:id="156" w:name="_Toc28697"/>
      <w:r>
        <w:rPr>
          <w:rFonts w:hint="eastAsia"/>
          <w:b/>
          <w:bCs/>
          <w:color w:val="000000"/>
          <w:sz w:val="36"/>
          <w:szCs w:val="36"/>
        </w:rPr>
        <w:t xml:space="preserve">第一节  </w:t>
      </w:r>
      <w:bookmarkEnd w:id="154"/>
      <w:r>
        <w:rPr>
          <w:rFonts w:hint="eastAsia"/>
          <w:b/>
          <w:bCs/>
          <w:color w:val="000000"/>
          <w:sz w:val="36"/>
          <w:szCs w:val="36"/>
        </w:rPr>
        <w:t>持续改善农村人居环境</w:t>
      </w:r>
      <w:bookmarkEnd w:id="155"/>
      <w:bookmarkEnd w:id="156"/>
    </w:p>
    <w:p>
      <w:pPr>
        <w:pStyle w:val="29"/>
        <w:spacing w:line="570" w:lineRule="exact"/>
        <w:ind w:firstLine="640"/>
        <w:rPr>
          <w:rFonts w:ascii="仿宋_GB2312" w:hAnsi="仿宋_GB2312" w:cs="仿宋_GB2312"/>
          <w:color w:val="000000"/>
          <w:szCs w:val="32"/>
        </w:rPr>
      </w:pPr>
      <w:bookmarkStart w:id="157" w:name="_Toc58184703"/>
      <w:r>
        <w:rPr>
          <w:rFonts w:hint="eastAsia" w:ascii="仿宋_GB2312" w:hAnsi="仿宋_GB2312" w:cs="仿宋_GB2312"/>
          <w:color w:val="000000"/>
          <w:szCs w:val="32"/>
        </w:rPr>
        <w:t>扎实开展农村人居环境整治提升五年行动，以全域旅游的理念指导乡村建设行动。深入开展清路、清河、清田“三清行动”，抓好村庄亮化绿化美化，推进庭院“五改”（改院、改水、改厕、改厨、改线）。突出乡土风情和地域文化，不断优化村庄功能布局，因地制宜开展“空心村”整治，着力提升农村人居环境面貌，打造一批布局合理、配套齐全、生态优美、特色明显的新型乡村民居。</w:t>
      </w:r>
    </w:p>
    <w:p>
      <w:pPr>
        <w:pStyle w:val="43"/>
        <w:spacing w:beforeLines="50" w:afterLines="50"/>
        <w:rPr>
          <w:b/>
          <w:bCs/>
          <w:color w:val="000000"/>
          <w:sz w:val="36"/>
          <w:szCs w:val="36"/>
        </w:rPr>
      </w:pPr>
      <w:bookmarkStart w:id="158" w:name="_Toc12044"/>
      <w:bookmarkStart w:id="159" w:name="_Toc62991774"/>
      <w:r>
        <w:rPr>
          <w:rFonts w:hint="eastAsia"/>
          <w:b/>
          <w:bCs/>
          <w:color w:val="000000"/>
          <w:sz w:val="36"/>
          <w:szCs w:val="36"/>
        </w:rPr>
        <w:t>第二节  推动农村基础设施提档升级</w:t>
      </w:r>
      <w:bookmarkEnd w:id="157"/>
      <w:bookmarkEnd w:id="158"/>
      <w:bookmarkEnd w:id="159"/>
    </w:p>
    <w:p>
      <w:pPr>
        <w:pStyle w:val="29"/>
        <w:spacing w:line="580" w:lineRule="exact"/>
        <w:ind w:firstLine="640"/>
        <w:rPr>
          <w:rFonts w:ascii="仿宋_GB2312" w:hAnsi="仿宋_GB2312" w:cs="仿宋_GB2312"/>
          <w:color w:val="000000"/>
          <w:spacing w:val="-6"/>
          <w:szCs w:val="32"/>
        </w:rPr>
      </w:pPr>
      <w:bookmarkStart w:id="160" w:name="_Toc58184704"/>
      <w:r>
        <w:rPr>
          <w:rFonts w:hint="eastAsia" w:ascii="仿宋_GB2312" w:hAnsi="仿宋_GB2312" w:cs="仿宋_GB2312"/>
          <w:color w:val="000000"/>
          <w:szCs w:val="32"/>
        </w:rPr>
        <w:t>加大“三农”领域基础设施、公共服务投入，抓好农村生活垃圾和污水治理、厕所革命、村庄亮化绿化美化等工作，完善农村公路、农网改造、农村信息、物流等设施。高标准推进全域“四好农村路”和“美丽乡村公路”建设，有序实施窄路加宽、进村入户工程。加强防洪防涝、水利灌溉、田间</w:t>
      </w:r>
      <w:r>
        <w:rPr>
          <w:rFonts w:hint="eastAsia" w:ascii="仿宋_GB2312" w:hAnsi="仿宋_GB2312" w:cs="仿宋_GB2312"/>
          <w:color w:val="000000"/>
          <w:spacing w:val="-6"/>
          <w:szCs w:val="32"/>
        </w:rPr>
        <w:t>道路、气象设施、农业机械设备等生产性基础设施建设，完善农村电网、畜禽粪便处理设施、人畜饮水设施等生活性基础设施配套，有效支撑农业强、农村美、农民富的发展需求。</w:t>
      </w:r>
      <w:bookmarkEnd w:id="160"/>
    </w:p>
    <w:p>
      <w:pPr>
        <w:pStyle w:val="43"/>
        <w:spacing w:beforeLines="50" w:afterLines="50"/>
        <w:rPr>
          <w:b/>
          <w:bCs/>
          <w:color w:val="000000"/>
          <w:sz w:val="36"/>
          <w:szCs w:val="36"/>
        </w:rPr>
      </w:pPr>
      <w:bookmarkStart w:id="161" w:name="_Toc58184705"/>
      <w:bookmarkStart w:id="162" w:name="_Toc62991775"/>
      <w:bookmarkStart w:id="163" w:name="_Toc23507"/>
      <w:r>
        <w:rPr>
          <w:rFonts w:hint="eastAsia"/>
          <w:b/>
          <w:bCs/>
          <w:color w:val="000000"/>
          <w:sz w:val="36"/>
          <w:szCs w:val="36"/>
        </w:rPr>
        <w:t xml:space="preserve">第三节 </w:t>
      </w:r>
      <w:r>
        <w:rPr>
          <w:b/>
          <w:bCs/>
          <w:color w:val="000000"/>
          <w:sz w:val="36"/>
          <w:szCs w:val="36"/>
        </w:rPr>
        <w:t xml:space="preserve"> </w:t>
      </w:r>
      <w:bookmarkEnd w:id="161"/>
      <w:r>
        <w:rPr>
          <w:rFonts w:hint="eastAsia"/>
          <w:b/>
          <w:bCs/>
          <w:color w:val="000000"/>
          <w:sz w:val="36"/>
          <w:szCs w:val="36"/>
        </w:rPr>
        <w:t>加强传统村落保护利用</w:t>
      </w:r>
      <w:bookmarkEnd w:id="162"/>
      <w:bookmarkEnd w:id="163"/>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加强传统村落和历史文化名村名镇保护利用，构建传统村落、历史建筑动态监管长效机制，推进实用性村庄规划编制和实施，优化村庄功能布局，做到农房建设有规划管理、行政村有村庄整治安排，实现村庄规划管理全覆盖。培育一批山水风光型、生态田园型、特色美食型、文旅康养型、古村古韵型等美丽乡村示范村。加强古树、古街、古建筑、古民居等保护，保留村庄风貌、延续村庄文脉。</w:t>
      </w:r>
    </w:p>
    <w:tbl>
      <w:tblPr>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2"/>
      </w:tblGrid>
      <w:tr>
        <w:trPr>
          <w:trHeight w:val="629" w:hRule="atLeast"/>
          <w:jc w:val="center"/>
        </w:trPr>
        <w:tc>
          <w:tcPr>
            <w:tcW w:w="8332" w:type="dxa"/>
            <w:vAlign w:val="center"/>
          </w:tcPr>
          <w:p>
            <w:pPr>
              <w:pStyle w:val="3"/>
              <w:spacing w:line="400" w:lineRule="exact"/>
              <w:jc w:val="center"/>
              <w:rPr>
                <w:rFonts w:eastAsia="仿宋"/>
                <w:color w:val="000000"/>
                <w:sz w:val="24"/>
              </w:rPr>
            </w:pPr>
            <w:r>
              <w:rPr>
                <w:rFonts w:ascii="仿宋_GB2312" w:hAnsi="楷体" w:eastAsia="仿宋_GB2312" w:cs="仿宋"/>
                <w:b/>
                <w:bCs/>
                <w:color w:val="000000"/>
                <w:kern w:val="0"/>
                <w:sz w:val="24"/>
                <w:szCs w:val="24"/>
              </w:rPr>
              <w:t>专栏</w:t>
            </w:r>
            <w:r>
              <w:rPr>
                <w:rFonts w:hint="eastAsia" w:ascii="仿宋_GB2312" w:hAnsi="楷体" w:eastAsia="仿宋_GB2312" w:cs="仿宋"/>
                <w:b/>
                <w:bCs/>
                <w:color w:val="000000"/>
                <w:kern w:val="0"/>
                <w:sz w:val="24"/>
                <w:szCs w:val="24"/>
              </w:rPr>
              <w:t>1</w:t>
            </w:r>
            <w:r>
              <w:rPr>
                <w:rFonts w:ascii="仿宋_GB2312" w:hAnsi="楷体" w:eastAsia="仿宋_GB2312" w:cs="仿宋"/>
                <w:b/>
                <w:bCs/>
                <w:color w:val="000000"/>
                <w:kern w:val="0"/>
                <w:sz w:val="24"/>
                <w:szCs w:val="24"/>
              </w:rPr>
              <w:t>4</w:t>
            </w:r>
            <w:r>
              <w:rPr>
                <w:rFonts w:hint="eastAsia" w:ascii="仿宋_GB2312" w:hAnsi="楷体" w:eastAsia="仿宋_GB2312" w:cs="仿宋"/>
                <w:b/>
                <w:bCs/>
                <w:color w:val="000000"/>
                <w:kern w:val="0"/>
                <w:sz w:val="24"/>
                <w:szCs w:val="24"/>
              </w:rPr>
              <w:t>：乡村建设重点项目</w:t>
            </w:r>
          </w:p>
        </w:tc>
      </w:tr>
      <w:tr>
        <w:trPr>
          <w:trHeight w:val="389" w:hRule="atLeast"/>
          <w:jc w:val="center"/>
        </w:trPr>
        <w:tc>
          <w:tcPr>
            <w:tcW w:w="8332" w:type="dxa"/>
            <w:vAlign w:val="center"/>
          </w:tcPr>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农村人居环境整治项目：</w:t>
            </w:r>
            <w:r>
              <w:rPr>
                <w:rFonts w:hint="eastAsia" w:ascii="仿宋_GB2312" w:hAnsi="仿宋_GB2312" w:eastAsia="仿宋_GB2312" w:cs="仿宋_GB2312"/>
                <w:color w:val="000000"/>
                <w:sz w:val="24"/>
              </w:rPr>
              <w:t>实施农村垃圾清运、农村污水处理项目；实施白庙乡水系工程、薛店乡水系建设；推进乡镇人居环境整治项目；完善乡镇排污管网铺设；实施茨芭镇三山搬迁项目，建设安置点及相关配套设施。</w:t>
            </w:r>
          </w:p>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农村基础设施项目：</w:t>
            </w:r>
            <w:r>
              <w:rPr>
                <w:rFonts w:hint="eastAsia" w:ascii="仿宋_GB2312" w:hAnsi="仿宋_GB2312" w:eastAsia="仿宋_GB2312" w:cs="仿宋_GB2312"/>
                <w:color w:val="000000"/>
                <w:sz w:val="24"/>
              </w:rPr>
              <w:t>修建十二条农村公路、改造县乡道路200公里、改造农村公路双车道320公里、农村公路安防工程项目500公里、改造农村公路危桥25座。</w:t>
            </w:r>
          </w:p>
          <w:p>
            <w:pPr>
              <w:pStyle w:val="3"/>
              <w:widowControl w:val="0"/>
              <w:wordWrap/>
              <w:adjustRightInd/>
              <w:snapToGrid/>
              <w:spacing w:line="400" w:lineRule="exact"/>
              <w:ind w:firstLine="482" w:firstLineChars="200"/>
              <w:textAlignment w:val="auto"/>
              <w:rPr>
                <w:color w:val="000000"/>
              </w:rPr>
            </w:pPr>
            <w:r>
              <w:rPr>
                <w:rFonts w:hint="eastAsia" w:ascii="仿宋_GB2312" w:hAnsi="仿宋_GB2312" w:eastAsia="仿宋_GB2312" w:cs="仿宋_GB2312"/>
                <w:b/>
                <w:bCs/>
                <w:color w:val="000000"/>
                <w:sz w:val="24"/>
              </w:rPr>
              <w:t>名镇名村保护工程：</w:t>
            </w:r>
            <w:r>
              <w:rPr>
                <w:rFonts w:hint="eastAsia" w:ascii="仿宋_GB2312" w:hAnsi="仿宋_GB2312" w:eastAsia="仿宋_GB2312" w:cs="仿宋_GB2312"/>
                <w:bCs/>
                <w:color w:val="000000"/>
                <w:sz w:val="24"/>
              </w:rPr>
              <w:t>郏县河南省历史文化名镇名村12个、郏县中国历史文化名镇名村6个、全县传统村落基础设施建设项目（19个国家级传统村落）、丁李庄、凤凰岭人居环境试点、加强冢头镇历史文化名镇的开发与保护；加强冢王村、下官村、山头赵村、张店村、临沣寨村历史文化名村的开发与保护；加强黄道镇王英沟村、纸坊村等传统村落的开发与保护。</w:t>
            </w:r>
          </w:p>
        </w:tc>
      </w:tr>
    </w:tbl>
    <w:p>
      <w:pPr>
        <w:pStyle w:val="42"/>
        <w:spacing w:beforeLines="50" w:afterLines="50" w:line="600" w:lineRule="exact"/>
        <w:rPr>
          <w:b w:val="0"/>
          <w:bCs/>
          <w:color w:val="000000"/>
          <w:szCs w:val="32"/>
        </w:rPr>
      </w:pPr>
      <w:bookmarkStart w:id="164" w:name="_Toc58184706"/>
      <w:bookmarkStart w:id="165" w:name="_Toc62991776"/>
      <w:bookmarkStart w:id="166" w:name="_Toc8973"/>
      <w:r>
        <w:rPr>
          <w:rFonts w:hint="eastAsia"/>
          <w:b w:val="0"/>
          <w:bCs/>
          <w:color w:val="000000"/>
          <w:szCs w:val="32"/>
        </w:rPr>
        <w:t xml:space="preserve">第四章 </w:t>
      </w:r>
      <w:bookmarkEnd w:id="164"/>
      <w:r>
        <w:rPr>
          <w:b w:val="0"/>
          <w:bCs/>
          <w:color w:val="000000"/>
          <w:szCs w:val="32"/>
        </w:rPr>
        <w:t xml:space="preserve"> </w:t>
      </w:r>
      <w:r>
        <w:rPr>
          <w:rFonts w:hint="eastAsia"/>
          <w:b w:val="0"/>
          <w:bCs/>
          <w:color w:val="000000"/>
          <w:szCs w:val="32"/>
        </w:rPr>
        <w:t>全面深化农村综合改革</w:t>
      </w:r>
      <w:bookmarkEnd w:id="165"/>
      <w:bookmarkEnd w:id="166"/>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建立健全城乡融合发展体制机制，深化农业农村改革，重塑新型城乡关系，促进城乡要素自由流动、平等交换和公共资源合理配置，缩小城乡发展差距和居民生活水平差距。</w:t>
      </w:r>
    </w:p>
    <w:p>
      <w:pPr>
        <w:pStyle w:val="43"/>
        <w:spacing w:beforeLines="50" w:afterLines="50" w:line="600" w:lineRule="exact"/>
        <w:rPr>
          <w:b/>
          <w:bCs/>
          <w:color w:val="000000"/>
          <w:sz w:val="36"/>
          <w:szCs w:val="36"/>
        </w:rPr>
      </w:pPr>
      <w:bookmarkStart w:id="167" w:name="_Toc62991777"/>
      <w:bookmarkStart w:id="168" w:name="_Toc1374"/>
      <w:r>
        <w:rPr>
          <w:rFonts w:hint="eastAsia"/>
          <w:b/>
          <w:bCs/>
          <w:color w:val="000000"/>
          <w:sz w:val="36"/>
          <w:szCs w:val="36"/>
        </w:rPr>
        <w:t xml:space="preserve">第一节 </w:t>
      </w:r>
      <w:r>
        <w:rPr>
          <w:b/>
          <w:bCs/>
          <w:color w:val="000000"/>
          <w:sz w:val="36"/>
          <w:szCs w:val="36"/>
        </w:rPr>
        <w:t xml:space="preserve"> </w:t>
      </w:r>
      <w:r>
        <w:rPr>
          <w:rFonts w:hint="eastAsia"/>
          <w:b/>
          <w:bCs/>
          <w:color w:val="000000"/>
          <w:sz w:val="36"/>
          <w:szCs w:val="36"/>
        </w:rPr>
        <w:t>全面深化农村改革</w:t>
      </w:r>
      <w:bookmarkEnd w:id="167"/>
      <w:bookmarkEnd w:id="168"/>
    </w:p>
    <w:p>
      <w:pPr>
        <w:pStyle w:val="29"/>
        <w:ind w:firstLine="640"/>
        <w:rPr>
          <w:rFonts w:ascii="仿宋_GB2312" w:hAnsi="仿宋_GB2312" w:cs="仿宋_GB2312"/>
          <w:color w:val="000000"/>
          <w:szCs w:val="32"/>
        </w:rPr>
      </w:pPr>
      <w:bookmarkStart w:id="169" w:name="_Toc58184708"/>
      <w:r>
        <w:rPr>
          <w:rFonts w:hint="eastAsia" w:ascii="仿宋_GB2312" w:hAnsi="仿宋_GB2312" w:cs="仿宋_GB2312"/>
          <w:color w:val="000000"/>
          <w:szCs w:val="32"/>
        </w:rPr>
        <w:t>健全城乡融合发展机制，推动城乡要素平等交换、双向流动，增强农业农村发展活力。落实第二轮土地承包到期后再延长三十年政策。</w:t>
      </w:r>
      <w:r>
        <w:rPr>
          <w:rFonts w:hint="eastAsia"/>
          <w:color w:val="000000"/>
        </w:rPr>
        <w:t>巩固拓展农村土地综合整治“五步走”成果。</w:t>
      </w:r>
      <w:r>
        <w:rPr>
          <w:rFonts w:hint="eastAsia" w:ascii="仿宋_GB2312" w:hAnsi="仿宋_GB2312" w:cs="仿宋_GB2312"/>
          <w:color w:val="000000"/>
          <w:szCs w:val="32"/>
        </w:rPr>
        <w:t>稳妥推进农村宅基地“三权分置”改革，健全城乡统一的建设用</w:t>
      </w:r>
      <w:r>
        <w:rPr>
          <w:rFonts w:hint="eastAsia" w:ascii="仿宋_GB2312" w:hAnsi="仿宋_GB2312" w:cs="仿宋_GB2312"/>
          <w:color w:val="000000"/>
          <w:spacing w:val="-6"/>
          <w:szCs w:val="32"/>
        </w:rPr>
        <w:t>地市场，实施农村集体经营性建设用地入市</w:t>
      </w:r>
      <w:r>
        <w:rPr>
          <w:rFonts w:hint="eastAsia" w:ascii="仿宋_GB2312" w:hAnsi="仿宋_GB2312" w:cs="仿宋_GB2312"/>
          <w:color w:val="000000"/>
          <w:szCs w:val="32"/>
        </w:rPr>
        <w:t>制度。健全有利于城乡要素合理配置的体制机制，畅通要素流动渠道。深化农村集体产权制度改革，盘活农村资产资源，持续推动“三变改革”，培育一批规模适度、管理有方、经营有效的新型农业经营主体，</w:t>
      </w:r>
      <w:r>
        <w:rPr>
          <w:rFonts w:ascii="仿宋_GB2312" w:hAnsi="仿宋_GB2312" w:cs="仿宋_GB2312"/>
          <w:color w:val="000000"/>
          <w:szCs w:val="32"/>
        </w:rPr>
        <w:t>通过村股份制经济合作社发挥融资作用，</w:t>
      </w:r>
      <w:r>
        <w:rPr>
          <w:rFonts w:hint="eastAsia" w:ascii="仿宋_GB2312" w:hAnsi="仿宋_GB2312" w:cs="仿宋_GB2312"/>
          <w:color w:val="000000"/>
          <w:szCs w:val="32"/>
        </w:rPr>
        <w:t>发展壮大新型农村集体经济。健全农村金融服务体系，发展农业保险。深入推进全省农业水价综合改革试点工作。</w:t>
      </w:r>
    </w:p>
    <w:p>
      <w:pPr>
        <w:pStyle w:val="43"/>
        <w:spacing w:beforeLines="50" w:afterLines="50" w:line="600" w:lineRule="exact"/>
        <w:rPr>
          <w:b/>
          <w:bCs/>
          <w:color w:val="000000"/>
          <w:sz w:val="36"/>
          <w:szCs w:val="36"/>
        </w:rPr>
      </w:pPr>
      <w:bookmarkStart w:id="170" w:name="_Toc62991778"/>
      <w:bookmarkStart w:id="171" w:name="_Toc5216"/>
      <w:r>
        <w:rPr>
          <w:rFonts w:hint="eastAsia"/>
          <w:b/>
          <w:bCs/>
          <w:color w:val="000000"/>
          <w:sz w:val="36"/>
          <w:szCs w:val="36"/>
        </w:rPr>
        <w:t>第二节  促进</w:t>
      </w:r>
      <w:bookmarkEnd w:id="169"/>
      <w:r>
        <w:rPr>
          <w:rFonts w:hint="eastAsia"/>
          <w:b/>
          <w:bCs/>
          <w:color w:val="000000"/>
          <w:sz w:val="36"/>
          <w:szCs w:val="36"/>
        </w:rPr>
        <w:t>城乡要素流动</w:t>
      </w:r>
      <w:bookmarkEnd w:id="170"/>
      <w:bookmarkEnd w:id="171"/>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建立健全有利于城乡要素合理配置的体制机制，促进各类要素更多向乡村流动。建立城市人才入乡激励机制，鼓励本地外</w:t>
      </w:r>
      <w:r>
        <w:rPr>
          <w:rFonts w:hint="eastAsia" w:ascii="仿宋_GB2312" w:hAnsi="仿宋_GB2312" w:cs="仿宋_GB2312"/>
          <w:color w:val="000000"/>
          <w:spacing w:val="-6"/>
          <w:szCs w:val="32"/>
        </w:rPr>
        <w:t>出的各类人才返乡创业兴业，推动各类人才入乡创</w:t>
      </w:r>
      <w:r>
        <w:rPr>
          <w:rFonts w:hint="eastAsia" w:ascii="仿宋_GB2312" w:hAnsi="仿宋_GB2312" w:cs="仿宋_GB2312"/>
          <w:color w:val="000000"/>
          <w:szCs w:val="32"/>
        </w:rPr>
        <w:t>业，允许农村集体经济组织探索人才加入机制。建立工商资本入乡促进机制，探索在政府引导下工商资本与村集体的合作共赢模式。建立科技成果入乡转化机制，赋予科研人员科技成果所有权，激发涉农科研人员的积极性，形成乡村人才、土地、资金、产业、信息汇聚的良性循环。</w:t>
      </w:r>
    </w:p>
    <w:p>
      <w:pPr>
        <w:pStyle w:val="43"/>
        <w:spacing w:beforeLines="50" w:afterLines="50" w:line="600" w:lineRule="exact"/>
        <w:rPr>
          <w:b/>
          <w:bCs/>
          <w:color w:val="000000"/>
          <w:sz w:val="36"/>
          <w:szCs w:val="36"/>
        </w:rPr>
      </w:pPr>
      <w:bookmarkStart w:id="172" w:name="_Toc62991779"/>
      <w:bookmarkStart w:id="173" w:name="_Toc27565"/>
      <w:r>
        <w:rPr>
          <w:rFonts w:hint="eastAsia"/>
          <w:b/>
          <w:bCs/>
          <w:color w:val="000000"/>
          <w:sz w:val="36"/>
          <w:szCs w:val="36"/>
        </w:rPr>
        <w:t>第三节  完善乡村治理体系</w:t>
      </w:r>
      <w:bookmarkEnd w:id="172"/>
      <w:bookmarkEnd w:id="173"/>
    </w:p>
    <w:p>
      <w:pPr>
        <w:pStyle w:val="29"/>
        <w:ind w:firstLine="640"/>
        <w:rPr>
          <w:rFonts w:ascii="仿宋_GB2312" w:hAnsi="仿宋_GB2312" w:cs="仿宋_GB2312"/>
          <w:color w:val="000000"/>
          <w:spacing w:val="-6"/>
          <w:szCs w:val="32"/>
        </w:rPr>
      </w:pPr>
      <w:bookmarkStart w:id="174" w:name="_Toc58184709"/>
      <w:r>
        <w:rPr>
          <w:rFonts w:hint="eastAsia" w:ascii="仿宋_GB2312" w:hAnsi="仿宋_GB2312" w:cs="仿宋_GB2312"/>
          <w:color w:val="000000"/>
          <w:szCs w:val="32"/>
        </w:rPr>
        <w:t>坚持自治、法治、德治相结合，着力健全完善乡村组织体系，激发乡村各类组织活力，打造党委领导下共建共治共享的现代社会治理格局，推进乡村治理体系和治理能力现代化。加强农村基层党组织建设。加强村级各种组织和各项工作中党组织的统一领导地位，坚持“三有三带”标准，选优配强村党组织书记，加大在青年农民、外出务工人员中发展党员力度。深化拓展基层民主科学决策制度，督促农村规范运用“四议两公开”工作法，实现村级重大事项决策民主化科学化规范化。深化村民自治实践，推进法治乡村建设，依托</w:t>
      </w:r>
      <w:r>
        <w:rPr>
          <w:rFonts w:hint="eastAsia" w:ascii="仿宋_GB2312" w:hAnsi="仿宋_GB2312" w:cs="仿宋_GB2312"/>
          <w:color w:val="000000"/>
          <w:spacing w:val="-6"/>
          <w:szCs w:val="32"/>
        </w:rPr>
        <w:t>道德讲堂、文化广场等阵地，大力开展理想信念教育和文明风尚教育，提升农民群众思想觉悟、道德水准、文明素养。持续开展平安村创建活动，加强乡村自然灾害综合预警和风险管理能力建设，推进突发事件预警信息发布系统向基层延伸。</w:t>
      </w:r>
    </w:p>
    <w:p>
      <w:pPr>
        <w:pStyle w:val="42"/>
        <w:spacing w:beforeLines="50" w:afterLines="50"/>
        <w:rPr>
          <w:b w:val="0"/>
          <w:bCs/>
          <w:color w:val="000000"/>
          <w:szCs w:val="32"/>
        </w:rPr>
      </w:pPr>
      <w:bookmarkStart w:id="175" w:name="_Toc62991780"/>
      <w:bookmarkStart w:id="176" w:name="_Toc9784"/>
      <w:r>
        <w:rPr>
          <w:rFonts w:hint="eastAsia"/>
          <w:b w:val="0"/>
          <w:bCs/>
          <w:color w:val="000000"/>
          <w:szCs w:val="32"/>
        </w:rPr>
        <w:t xml:space="preserve">第五章 </w:t>
      </w:r>
      <w:bookmarkEnd w:id="174"/>
      <w:r>
        <w:rPr>
          <w:b w:val="0"/>
          <w:bCs/>
          <w:color w:val="000000"/>
          <w:szCs w:val="32"/>
        </w:rPr>
        <w:t xml:space="preserve"> </w:t>
      </w:r>
      <w:r>
        <w:rPr>
          <w:rFonts w:hint="eastAsia"/>
          <w:b w:val="0"/>
          <w:bCs/>
          <w:color w:val="000000"/>
          <w:szCs w:val="32"/>
        </w:rPr>
        <w:t>持续巩固脱贫攻坚成果</w:t>
      </w:r>
      <w:bookmarkEnd w:id="175"/>
      <w:bookmarkEnd w:id="176"/>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做好脱贫攻坚同乡村振兴有效衔接，保持扶贫政策连续性和稳定性，确保摘帽不摘责任、摘帽不摘政策、摘帽不摘帮扶、摘帽不摘监管，持续增强贫困地区“造血”功能和发展后劲。</w:t>
      </w:r>
    </w:p>
    <w:p>
      <w:pPr>
        <w:pStyle w:val="43"/>
        <w:spacing w:beforeLines="50" w:afterLines="50"/>
        <w:rPr>
          <w:b/>
          <w:bCs/>
          <w:color w:val="000000"/>
          <w:sz w:val="36"/>
          <w:szCs w:val="36"/>
        </w:rPr>
      </w:pPr>
      <w:bookmarkStart w:id="177" w:name="_Toc58184710"/>
      <w:bookmarkStart w:id="178" w:name="_Toc62991781"/>
      <w:bookmarkStart w:id="179" w:name="_Toc3314"/>
      <w:r>
        <w:rPr>
          <w:rFonts w:hint="eastAsia"/>
          <w:b/>
          <w:bCs/>
          <w:color w:val="000000"/>
          <w:sz w:val="36"/>
          <w:szCs w:val="36"/>
        </w:rPr>
        <w:t xml:space="preserve">第一节  </w:t>
      </w:r>
      <w:bookmarkEnd w:id="177"/>
      <w:r>
        <w:rPr>
          <w:rFonts w:hint="eastAsia"/>
          <w:b/>
          <w:bCs/>
          <w:color w:val="000000"/>
          <w:sz w:val="36"/>
          <w:szCs w:val="36"/>
        </w:rPr>
        <w:t>健全防止返贫监测和帮扶机制</w:t>
      </w:r>
      <w:bookmarkEnd w:id="178"/>
      <w:bookmarkEnd w:id="179"/>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巩固拓展脱贫攻坚成果，健全防止返贫动态监测预警和帮扶机制，对易返贫致贫人口实施常态化监测，保持主要帮扶政策、财政投入力度总体稳定。分类优化调整帮扶政策，合理把握节奏、力度、时限，稳妥实现由集中资源支持脱贫攻坚向全面推进乡村振兴过渡，工作举措从脱贫攻坚逐步向乡村振兴转换。加强扶贫项目资金资产管理和监督，确保公益性资产持续发挥作用、经营性资产不流失或被侵占。做好领导体制、规划体系、政策措施、工作机制、机构队伍衔接，统筹推进产业、人才、文化、生态、组织“五个振兴”，打造乡村振兴示范带、循环圈，促进农业全面升级、农村全面进步、农民全面发展。</w:t>
      </w:r>
    </w:p>
    <w:p>
      <w:pPr>
        <w:pStyle w:val="43"/>
        <w:spacing w:beforeLines="50" w:afterLines="50"/>
        <w:rPr>
          <w:b/>
          <w:bCs/>
          <w:color w:val="000000"/>
          <w:sz w:val="36"/>
          <w:szCs w:val="36"/>
        </w:rPr>
      </w:pPr>
      <w:bookmarkStart w:id="180" w:name="_Toc62991782"/>
      <w:bookmarkStart w:id="181" w:name="_Toc20135"/>
      <w:r>
        <w:rPr>
          <w:rFonts w:hint="eastAsia"/>
          <w:b/>
          <w:bCs/>
          <w:color w:val="000000"/>
          <w:sz w:val="36"/>
          <w:szCs w:val="36"/>
        </w:rPr>
        <w:t>第二节  多渠道巩固脱贫攻坚成果</w:t>
      </w:r>
      <w:bookmarkEnd w:id="180"/>
      <w:bookmarkEnd w:id="181"/>
    </w:p>
    <w:p>
      <w:pPr>
        <w:pStyle w:val="29"/>
        <w:spacing w:line="580" w:lineRule="exact"/>
        <w:ind w:firstLine="640"/>
        <w:rPr>
          <w:rFonts w:ascii="仿宋_GB2312" w:hAnsi="仿宋_GB2312" w:cs="仿宋_GB2312"/>
          <w:color w:val="000000"/>
          <w:szCs w:val="32"/>
        </w:rPr>
      </w:pPr>
      <w:bookmarkStart w:id="182" w:name="_Toc58184711"/>
      <w:r>
        <w:rPr>
          <w:rFonts w:hint="eastAsia" w:ascii="仿宋_GB2312" w:hAnsi="仿宋_GB2312" w:cs="仿宋_GB2312"/>
          <w:color w:val="000000"/>
          <w:szCs w:val="32"/>
        </w:rPr>
        <w:t>大力发展“</w:t>
      </w:r>
      <w:r>
        <w:rPr>
          <w:rFonts w:hint="eastAsia" w:ascii="仿宋_GB2312" w:hAnsi="仿宋_GB2312" w:cs="仿宋_GB2312"/>
          <w:color w:val="000000"/>
          <w:szCs w:val="32"/>
          <w:lang w:val="en-US" w:eastAsia="zh-CN"/>
        </w:rPr>
        <w:t>郏县</w:t>
      </w:r>
      <w:r>
        <w:rPr>
          <w:rFonts w:hint="eastAsia" w:ascii="仿宋_GB2312" w:hAnsi="仿宋_GB2312" w:cs="仿宋_GB2312"/>
          <w:color w:val="000000"/>
          <w:szCs w:val="32"/>
        </w:rPr>
        <w:t>红牛、果蔬、烟叶”等特色产业，增强相对贫困人口自身“造血功能”，促进产业发展，发挥产业龙头企业带动作用，进一步抓牢抓实集体经济，提升服务质量。大力实施就业扶贫，做好相对贫困人口就业调查摸底工作，根据劳动者就业创业和技能培训意愿“量身定制”帮扶措施，加大公益性岗位开发力度。大力开展消费扶贫行动，加快农村电子商务销售服务站、乡村物流网点建设，大力推动扶贫产品进商超、进食堂、进企业。抓好市场拓展活动，组织好产销对接，畅通农产品销售渠道，解决农产品难运难卖问题。提升相对贫困人口基本素质，激发群众的内生动力，巩固脱贫成果。</w:t>
      </w:r>
    </w:p>
    <w:p>
      <w:pPr>
        <w:pStyle w:val="43"/>
        <w:spacing w:beforeLines="50" w:afterLines="50"/>
        <w:rPr>
          <w:b/>
          <w:bCs/>
          <w:color w:val="000000"/>
          <w:sz w:val="36"/>
          <w:szCs w:val="36"/>
        </w:rPr>
      </w:pPr>
      <w:bookmarkStart w:id="183" w:name="_Toc62991783"/>
      <w:bookmarkStart w:id="184" w:name="_Toc15629"/>
      <w:r>
        <w:rPr>
          <w:rFonts w:hint="eastAsia"/>
          <w:b/>
          <w:bCs/>
          <w:color w:val="000000"/>
          <w:sz w:val="36"/>
          <w:szCs w:val="36"/>
        </w:rPr>
        <w:t>第三节  加强对农村低收入人口分类帮扶</w:t>
      </w:r>
      <w:bookmarkEnd w:id="182"/>
      <w:bookmarkEnd w:id="183"/>
      <w:bookmarkEnd w:id="184"/>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健全农村社会保障和救助制度，以现有社会救助和社会保障体系为基础，健全农村低收入人口分类帮扶机制。坚持和完善对口帮扶、社会力量参与帮扶等机制，进一步优化结对帮扶关系和协作帮扶方式，提高其内生发展能力。对完全丧失劳动能力或部分丧失劳动能力，无法通过产业就业获得稳定收入的人口，要应保尽保、应兜尽兜，切实保障他们的基本生活。</w:t>
      </w:r>
    </w:p>
    <w:p>
      <w:pPr>
        <w:rPr>
          <w:rFonts w:hint="eastAsia" w:ascii="方正小标宋_GBK" w:hAnsi="方正小标宋_GBK" w:eastAsia="方正小标宋_GBK" w:cs="方正小标宋_GBK"/>
          <w:b w:val="0"/>
          <w:color w:val="000000"/>
          <w:sz w:val="32"/>
          <w:szCs w:val="32"/>
        </w:rPr>
      </w:pPr>
      <w:r>
        <w:rPr>
          <w:rFonts w:hint="eastAsia" w:ascii="仿宋_GB2312" w:hAnsi="仿宋_GB2312" w:cs="仿宋_GB2312"/>
          <w:color w:val="000000"/>
          <w:szCs w:val="32"/>
        </w:rPr>
        <w:br w:type="page"/>
      </w:r>
      <w:bookmarkStart w:id="185" w:name="_Toc62406525"/>
      <w:bookmarkStart w:id="186" w:name="_Toc62991784"/>
      <w:bookmarkStart w:id="187" w:name="_Toc22458"/>
      <w:r>
        <w:rPr>
          <w:rFonts w:hint="eastAsia" w:ascii="方正小标宋_GBK" w:hAnsi="方正小标宋_GBK" w:eastAsia="方正小标宋_GBK" w:cs="方正小标宋_GBK"/>
          <w:b w:val="0"/>
          <w:color w:val="000000"/>
          <w:sz w:val="32"/>
          <w:szCs w:val="32"/>
        </w:rPr>
        <w:t>第六篇  完善现代基础设施体系</w:t>
      </w:r>
      <w:bookmarkEnd w:id="185"/>
      <w:r>
        <w:rPr>
          <w:rFonts w:hint="eastAsia" w:ascii="方正小标宋_GBK" w:hAnsi="方正小标宋_GBK" w:eastAsia="方正小标宋_GBK" w:cs="方正小标宋_GBK"/>
          <w:b w:val="0"/>
          <w:color w:val="000000"/>
          <w:sz w:val="32"/>
          <w:szCs w:val="32"/>
        </w:rPr>
        <w:t>，培植高质量发展新优势</w:t>
      </w:r>
      <w:bookmarkEnd w:id="186"/>
      <w:bookmarkEnd w:id="187"/>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着眼内外道路互通互联、城市灾害应急能力提高、5G信息网络基础设施覆盖加速等，加快建设引领未来的高效、智能、安全、绿色的现代化基础设施网络，全面提升交通、水利、能源、信息等基础设施对全县经济社会发展的支撑保障能力。</w:t>
      </w:r>
    </w:p>
    <w:p>
      <w:pPr>
        <w:pStyle w:val="42"/>
        <w:spacing w:beforeLines="50" w:afterLines="50"/>
        <w:rPr>
          <w:b w:val="0"/>
          <w:bCs/>
          <w:color w:val="000000"/>
          <w:szCs w:val="32"/>
        </w:rPr>
      </w:pPr>
      <w:bookmarkStart w:id="188" w:name="_Toc62991785"/>
      <w:bookmarkStart w:id="189" w:name="_Toc62406526"/>
      <w:bookmarkStart w:id="190" w:name="_Toc5315"/>
      <w:r>
        <w:rPr>
          <w:rFonts w:hint="eastAsia"/>
          <w:b w:val="0"/>
          <w:bCs/>
          <w:color w:val="000000"/>
          <w:szCs w:val="32"/>
        </w:rPr>
        <w:t>第一章  优化现代综合交通体系</w:t>
      </w:r>
      <w:bookmarkEnd w:id="188"/>
      <w:bookmarkEnd w:id="189"/>
      <w:bookmarkEnd w:id="190"/>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按照内通外联的县域交通发展思路，锚定基本实现交通运输</w:t>
      </w:r>
      <w:r>
        <w:rPr>
          <w:rFonts w:hint="eastAsia" w:ascii="仿宋_GB2312" w:hAnsi="仿宋_GB2312" w:cs="仿宋_GB2312"/>
          <w:color w:val="000000"/>
          <w:spacing w:val="-6"/>
          <w:szCs w:val="32"/>
        </w:rPr>
        <w:t>现代化目标，全面提升交通通达力和带动力，统筹推进通用机场、高速公路、普通干线公路、水路航运、公交场站建设，加强</w:t>
      </w:r>
      <w:r>
        <w:rPr>
          <w:rFonts w:hint="eastAsia" w:ascii="仿宋_GB2312" w:hAnsi="黑体"/>
          <w:color w:val="000000"/>
          <w:spacing w:val="-6"/>
          <w:kern w:val="0"/>
          <w:szCs w:val="32"/>
        </w:rPr>
        <w:t>郏县与平顶山市中心城区半小时通勤联络，</w:t>
      </w:r>
      <w:r>
        <w:rPr>
          <w:rFonts w:hint="eastAsia" w:ascii="仿宋_GB2312" w:hAnsi="仿宋_GB2312" w:cs="仿宋_GB2312"/>
          <w:color w:val="000000"/>
          <w:spacing w:val="-6"/>
          <w:szCs w:val="32"/>
        </w:rPr>
        <w:t>基本实现交</w:t>
      </w:r>
      <w:r>
        <w:rPr>
          <w:rFonts w:hint="eastAsia" w:ascii="仿宋_GB2312" w:hAnsi="仿宋_GB2312" w:cs="仿宋_GB2312"/>
          <w:color w:val="000000"/>
          <w:szCs w:val="32"/>
        </w:rPr>
        <w:t>通运输现代化，打造平顶山对接郑州都市圈的门户枢纽。</w:t>
      </w:r>
    </w:p>
    <w:p>
      <w:pPr>
        <w:pStyle w:val="43"/>
        <w:spacing w:beforeLines="50" w:afterLines="50"/>
        <w:rPr>
          <w:b/>
          <w:bCs/>
          <w:color w:val="000000"/>
          <w:sz w:val="36"/>
          <w:szCs w:val="36"/>
        </w:rPr>
      </w:pPr>
      <w:bookmarkStart w:id="191" w:name="_Toc62406527"/>
      <w:bookmarkStart w:id="192" w:name="_Toc62991786"/>
      <w:bookmarkStart w:id="193" w:name="_Toc14952"/>
      <w:r>
        <w:rPr>
          <w:rFonts w:hint="eastAsia"/>
          <w:b/>
          <w:bCs/>
          <w:color w:val="000000"/>
          <w:sz w:val="36"/>
          <w:szCs w:val="36"/>
        </w:rPr>
        <w:t>第一节  打造立体交通网</w:t>
      </w:r>
      <w:bookmarkEnd w:id="191"/>
      <w:bookmarkEnd w:id="192"/>
      <w:bookmarkEnd w:id="193"/>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着力构建“公铁水空”齐备的综合立体运输体系。积极对接焦平高速建设，争取连通林桐高速、郑栾高速、焦平高速的横向高速建设项目，构建高速公路网。完成郏县高铁站区续建工程和郏县高铁站公铁交换中心建设工程，全面提升郑万高铁郏县站服务能力。提升三洋铁路运输能力，完成三洋铁路黄道西延至三门峡陕州区段和安良三洋铁路物流园托运线建设。加强水路航运建设，推动汝河通航，规划建设许郏航线和郏县航运码头。积极推进郏县通用机场建设。</w:t>
      </w:r>
    </w:p>
    <w:p>
      <w:pPr>
        <w:pStyle w:val="43"/>
        <w:spacing w:afterLines="50"/>
        <w:rPr>
          <w:b/>
          <w:bCs/>
          <w:color w:val="000000"/>
          <w:sz w:val="36"/>
          <w:szCs w:val="36"/>
        </w:rPr>
      </w:pPr>
      <w:bookmarkStart w:id="194" w:name="_Toc62406528"/>
      <w:bookmarkStart w:id="195" w:name="_Toc26475"/>
      <w:bookmarkStart w:id="196" w:name="_Toc62991787"/>
      <w:r>
        <w:rPr>
          <w:rFonts w:hint="eastAsia"/>
          <w:b/>
          <w:bCs/>
          <w:color w:val="000000"/>
          <w:sz w:val="36"/>
          <w:szCs w:val="36"/>
        </w:rPr>
        <w:t>第二节  构建城乡交通网</w:t>
      </w:r>
      <w:bookmarkEnd w:id="194"/>
      <w:bookmarkEnd w:id="195"/>
      <w:bookmarkEnd w:id="196"/>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打通“三纵”、改造“三横”，谋划“四纵四横”干路交通网，打造以干线公路为骨干、县乡公路为枝干的布局合理、便捷畅通、安全高效的现代化交通网络。逐步提高公路等级，突出主要经济线路、县乡道路达到三级或三级以上油路技术标准。完成S322鹿嵩线、G311连栾线、G344东灵线、S103郑淅线、S234焦新线改建工程，推进S233焦桐线、S103郑淅线、S520郏汝线等的建设。补齐农村交通设施短板，全域打造“四好”农村路，完成中薛线、杨杜线、小谢线等一批县乡公路提升改造工程，实现县乡公路“通村入组”，村道达到四级沥青或水泥路技术标准。到2025年，实现过境干线覆盖乡镇，县级道路覆盖行政村，乡道及以上行政等级公路基本覆盖建制村。实施路长制，加快构建县乡村分级管理的长效机制，推进道路“绿美畅洁安”工作。</w:t>
      </w:r>
    </w:p>
    <w:p>
      <w:pPr>
        <w:pStyle w:val="43"/>
        <w:spacing w:beforeLines="50" w:afterLines="50"/>
        <w:rPr>
          <w:b/>
          <w:bCs/>
          <w:color w:val="000000"/>
          <w:sz w:val="36"/>
          <w:szCs w:val="36"/>
        </w:rPr>
      </w:pPr>
      <w:bookmarkStart w:id="197" w:name="_Toc62406529"/>
      <w:bookmarkStart w:id="198" w:name="_Toc10749"/>
      <w:bookmarkStart w:id="199" w:name="_Toc62991788"/>
      <w:r>
        <w:rPr>
          <w:rFonts w:hint="eastAsia"/>
          <w:b/>
          <w:bCs/>
          <w:color w:val="000000"/>
          <w:sz w:val="36"/>
          <w:szCs w:val="36"/>
        </w:rPr>
        <w:t>第三节  完善公共交通站场和线路</w:t>
      </w:r>
      <w:bookmarkEnd w:id="197"/>
      <w:bookmarkEnd w:id="198"/>
      <w:bookmarkEnd w:id="199"/>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新建郏县公交枢纽站、郏县长途客运站和客运北站、客运西站、客运南站，新建公交充电站，更新一批新能源出租车、新能源公交车，全面提升公共交通服务水平。大力发展智慧交通，充分利用先进信息技术，加快构筑综合交通运输智慧云平台，提升交通运输服务品质。</w:t>
      </w:r>
    </w:p>
    <w:tbl>
      <w:tblPr>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rPr>
          <w:trHeight w:val="497" w:hRule="atLeast"/>
        </w:trPr>
        <w:tc>
          <w:tcPr>
            <w:tcW w:w="8240" w:type="dxa"/>
            <w:vAlign w:val="center"/>
          </w:tcPr>
          <w:p>
            <w:pPr>
              <w:jc w:val="center"/>
              <w:rPr>
                <w:rFonts w:ascii="仿宋" w:hAnsi="仿宋" w:eastAsia="仿宋" w:cs="仿宋"/>
                <w:color w:val="000000"/>
                <w:sz w:val="24"/>
              </w:rPr>
            </w:pPr>
            <w:r>
              <w:rPr>
                <w:rFonts w:hint="eastAsia" w:ascii="仿宋_GB2312" w:hAnsi="楷体" w:eastAsia="仿宋_GB2312" w:cs="仿宋"/>
                <w:b/>
                <w:bCs/>
                <w:color w:val="000000"/>
                <w:kern w:val="0"/>
                <w:sz w:val="24"/>
              </w:rPr>
              <w:t>专栏1</w:t>
            </w:r>
            <w:r>
              <w:rPr>
                <w:rFonts w:ascii="仿宋_GB2312" w:hAnsi="楷体" w:eastAsia="仿宋_GB2312" w:cs="仿宋"/>
                <w:b/>
                <w:bCs/>
                <w:color w:val="000000"/>
                <w:kern w:val="0"/>
                <w:sz w:val="24"/>
              </w:rPr>
              <w:t>5</w:t>
            </w:r>
            <w:r>
              <w:rPr>
                <w:rFonts w:hint="eastAsia" w:ascii="仿宋_GB2312" w:hAnsi="楷体" w:eastAsia="仿宋_GB2312" w:cs="仿宋"/>
                <w:b/>
                <w:bCs/>
                <w:color w:val="000000"/>
                <w:kern w:val="0"/>
                <w:sz w:val="24"/>
              </w:rPr>
              <w:t>：交通体系建设重点项目</w:t>
            </w:r>
          </w:p>
        </w:tc>
      </w:tr>
      <w:tr>
        <w:trPr>
          <w:trHeight w:val="402" w:hRule="atLeast"/>
        </w:trPr>
        <w:tc>
          <w:tcPr>
            <w:tcW w:w="8240" w:type="dxa"/>
            <w:vAlign w:val="center"/>
          </w:tcPr>
          <w:p>
            <w:pPr>
              <w:spacing w:line="360" w:lineRule="exact"/>
              <w:ind w:firstLine="480" w:firstLineChars="200"/>
              <w:rPr>
                <w:color w:val="000000"/>
              </w:rPr>
            </w:pPr>
            <w:r>
              <w:rPr>
                <w:rFonts w:hint="eastAsia" w:ascii="仿宋_GB2312" w:hAnsi="仿宋_GB2312" w:eastAsia="仿宋_GB2312" w:cs="仿宋_GB2312"/>
                <w:color w:val="000000"/>
                <w:sz w:val="24"/>
              </w:rPr>
              <w:t>规划建设郏县通用机场。完成郑万高铁站区续建，建设郑万高铁郏县站公铁交换中心、郏县长途客运站。建成安良三洋铁路物流园托运线。建成郏县北三环（青龙东路）改建项目、</w:t>
            </w:r>
            <w:r>
              <w:rPr>
                <w:rFonts w:hint="eastAsia" w:ascii="仿宋_GB2312" w:hAnsi="仿宋_GB2312" w:eastAsia="仿宋_GB2312" w:cs="仿宋_GB2312"/>
                <w:color w:val="000000"/>
                <w:sz w:val="24"/>
                <w:lang w:val="en-US" w:eastAsia="zh-CN"/>
              </w:rPr>
              <w:t>南二环、</w:t>
            </w:r>
            <w:r>
              <w:rPr>
                <w:rFonts w:hint="eastAsia" w:ascii="仿宋_GB2312" w:hAnsi="仿宋_GB2312" w:eastAsia="仿宋_GB2312" w:cs="仿宋_GB2312"/>
                <w:color w:val="000000"/>
                <w:sz w:val="24"/>
              </w:rPr>
              <w:t>郑栾高速郏县站改扩建项目。完成S322鹿嵩线襄郏界至郏汝界段、G311连栾线襄郏界至郏宝界段、G344东灵线郏县境段、S103郑淅线郏县侯店至郏卫交界段、S234焦新线郏县段改建工程。推进S233焦桐线、S103郑淅线郏县段等改造提升。规划实施汝河许郏航线。</w:t>
            </w:r>
          </w:p>
        </w:tc>
      </w:tr>
    </w:tbl>
    <w:p>
      <w:pPr>
        <w:pStyle w:val="42"/>
        <w:spacing w:beforeLines="50" w:afterLines="50"/>
        <w:rPr>
          <w:b w:val="0"/>
          <w:bCs/>
          <w:color w:val="000000"/>
          <w:szCs w:val="32"/>
        </w:rPr>
      </w:pPr>
      <w:bookmarkStart w:id="200" w:name="_Toc62991789"/>
      <w:bookmarkStart w:id="201" w:name="_Toc62406530"/>
      <w:bookmarkStart w:id="202" w:name="_Toc23337"/>
      <w:r>
        <w:rPr>
          <w:rFonts w:hint="eastAsia"/>
          <w:b w:val="0"/>
          <w:bCs/>
          <w:color w:val="000000"/>
          <w:szCs w:val="32"/>
        </w:rPr>
        <w:t>第二章  完善水利基础设施</w:t>
      </w:r>
      <w:bookmarkEnd w:id="200"/>
      <w:bookmarkEnd w:id="201"/>
      <w:bookmarkEnd w:id="202"/>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坚持以水定城、以水定地、以水定人、以水定产，扎实推进“四水同治”，着力形成覆盖全县“五横十三纵”的水网体系，增强水资源调配能力，逐步形成与县域经济发展相适应的供水安全保障体系。</w:t>
      </w:r>
    </w:p>
    <w:p>
      <w:pPr>
        <w:pStyle w:val="43"/>
        <w:spacing w:beforeLines="50" w:afterLines="50" w:line="600" w:lineRule="exact"/>
        <w:rPr>
          <w:b/>
          <w:bCs/>
          <w:color w:val="000000"/>
          <w:sz w:val="36"/>
          <w:szCs w:val="36"/>
        </w:rPr>
      </w:pPr>
      <w:bookmarkStart w:id="203" w:name="_Toc62991790"/>
      <w:bookmarkStart w:id="204" w:name="_Toc62406531"/>
      <w:bookmarkStart w:id="205" w:name="_Toc7149"/>
      <w:r>
        <w:rPr>
          <w:rFonts w:hint="eastAsia"/>
          <w:b/>
          <w:bCs/>
          <w:color w:val="000000"/>
          <w:sz w:val="36"/>
          <w:szCs w:val="36"/>
        </w:rPr>
        <w:t>第一节  构建完善的防洪排涝保安体系</w:t>
      </w:r>
      <w:bookmarkEnd w:id="203"/>
      <w:bookmarkEnd w:id="204"/>
      <w:bookmarkEnd w:id="205"/>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以全县“五横十三纵”水系为筋脉，以22座中小型水库、4座橡胶坝为枢纽，用“源头活水”把河湖水系和沟渠坑塘连通起来。实施大水网、大连通，努力推动前坪水库、调水济郏工程开工建设，积极谋划陆浑水库、昭平台水库引水济郏工程早日开工。推进中小河流综合治理，完成北汝河剩余河段、三险河、芝河、柳杨河、青龙河、肖河治理工程，实施芝河袁庄水闸、蓝河冢头水闸除险加固工程和蓝河水库建设工程，综合推进大中型水库、水闸、水系连通、山洪灾害防治等工程建设，提高防洪抗旱能力。加快实施广阔渠和恒压灌</w:t>
      </w:r>
      <w:r>
        <w:rPr>
          <w:rFonts w:hint="eastAsia" w:ascii="仿宋_GB2312" w:hAnsi="仿宋_GB2312" w:cs="仿宋_GB2312"/>
          <w:color w:val="000000"/>
          <w:spacing w:val="-6"/>
          <w:szCs w:val="32"/>
        </w:rPr>
        <w:t>区提质增效、水系连通及农村水系综合整治二</w:t>
      </w:r>
      <w:r>
        <w:rPr>
          <w:rFonts w:hint="eastAsia" w:ascii="仿宋_GB2312" w:hAnsi="仿宋_GB2312" w:cs="仿宋_GB2312"/>
          <w:color w:val="000000"/>
          <w:szCs w:val="32"/>
        </w:rPr>
        <w:t>期工程，持续做好大中型灌区续建配套和节水改造提升。持续实施水土保持工程，完成安良镇段沟、李口镇周沟小流域治理项目。推进基层防汛预报预警体系建设，完善防汛抗旱指挥系统，加强防汛抗旱物物资储备和应急抢险队伍建设，提升应急保障能力。</w:t>
      </w:r>
    </w:p>
    <w:p>
      <w:pPr>
        <w:pStyle w:val="43"/>
        <w:spacing w:beforeLines="50" w:afterLines="50"/>
        <w:rPr>
          <w:b/>
          <w:bCs/>
          <w:color w:val="000000"/>
          <w:sz w:val="36"/>
          <w:szCs w:val="36"/>
        </w:rPr>
      </w:pPr>
      <w:bookmarkStart w:id="206" w:name="_Toc24570"/>
      <w:bookmarkStart w:id="207" w:name="_Toc62406532"/>
      <w:bookmarkStart w:id="208" w:name="_Toc62991791"/>
      <w:r>
        <w:rPr>
          <w:rFonts w:hint="eastAsia"/>
          <w:b/>
          <w:bCs/>
          <w:color w:val="000000"/>
          <w:sz w:val="36"/>
          <w:szCs w:val="36"/>
        </w:rPr>
        <w:t>第二节  提升城乡安全饮水水平</w:t>
      </w:r>
      <w:bookmarkEnd w:id="206"/>
      <w:bookmarkEnd w:id="207"/>
      <w:bookmarkEnd w:id="208"/>
    </w:p>
    <w:p>
      <w:pPr>
        <w:pStyle w:val="29"/>
        <w:spacing w:line="580" w:lineRule="exact"/>
        <w:ind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推动建设北汝河向城区和产业集聚区调水，推动农村水系连通综合整治试点工作，实现农村集中供水全覆盖，推进城乡供水一体化。推进南水北调水源向</w:t>
      </w:r>
      <w:r>
        <w:rPr>
          <w:rFonts w:hint="eastAsia" w:ascii="仿宋_GB2312" w:hAnsi="仿宋_GB2312" w:eastAsia="仿宋_GB2312" w:cs="仿宋_GB2312"/>
          <w:color w:val="000000"/>
          <w:szCs w:val="32"/>
          <w:lang w:val="en-US" w:eastAsia="zh-CN"/>
        </w:rPr>
        <w:t>广阔天地乡</w:t>
      </w:r>
      <w:r>
        <w:rPr>
          <w:rFonts w:hint="eastAsia" w:ascii="仿宋_GB2312" w:hAnsi="仿宋_GB2312" w:eastAsia="仿宋_GB2312" w:cs="仿宋_GB2312"/>
          <w:color w:val="000000"/>
          <w:szCs w:val="32"/>
        </w:rPr>
        <w:t>、渣园</w:t>
      </w:r>
      <w:r>
        <w:rPr>
          <w:rFonts w:hint="eastAsia" w:ascii="仿宋_GB2312" w:hAnsi="仿宋_GB2312" w:eastAsia="仿宋_GB2312" w:cs="仿宋_GB2312"/>
          <w:color w:val="000000"/>
          <w:szCs w:val="32"/>
          <w:lang w:val="en-US" w:eastAsia="zh-CN"/>
        </w:rPr>
        <w:t>乡</w:t>
      </w:r>
      <w:r>
        <w:rPr>
          <w:rFonts w:hint="eastAsia" w:ascii="仿宋_GB2312" w:hAnsi="仿宋_GB2312" w:eastAsia="仿宋_GB2312" w:cs="仿宋_GB2312"/>
          <w:color w:val="000000"/>
          <w:szCs w:val="32"/>
        </w:rPr>
        <w:t>、白庙</w:t>
      </w:r>
      <w:r>
        <w:rPr>
          <w:rFonts w:hint="eastAsia" w:ascii="仿宋_GB2312" w:hAnsi="仿宋_GB2312" w:eastAsia="仿宋_GB2312" w:cs="仿宋_GB2312"/>
          <w:color w:val="000000"/>
          <w:szCs w:val="32"/>
          <w:lang w:val="en-US" w:eastAsia="zh-CN"/>
        </w:rPr>
        <w:t>乡</w:t>
      </w:r>
      <w:r>
        <w:rPr>
          <w:rFonts w:hint="eastAsia" w:ascii="仿宋_GB2312" w:hAnsi="仿宋_GB2312" w:eastAsia="仿宋_GB2312" w:cs="仿宋_GB2312"/>
          <w:color w:val="000000"/>
          <w:szCs w:val="32"/>
        </w:rPr>
        <w:t>、王集</w:t>
      </w:r>
      <w:r>
        <w:rPr>
          <w:rFonts w:hint="eastAsia" w:ascii="仿宋_GB2312" w:hAnsi="仿宋_GB2312" w:eastAsia="仿宋_GB2312" w:cs="仿宋_GB2312"/>
          <w:color w:val="000000"/>
          <w:szCs w:val="32"/>
          <w:lang w:val="en-US" w:eastAsia="zh-CN"/>
        </w:rPr>
        <w:t>乡</w:t>
      </w:r>
      <w:r>
        <w:rPr>
          <w:rFonts w:hint="eastAsia" w:ascii="仿宋_GB2312" w:hAnsi="仿宋_GB2312" w:eastAsia="仿宋_GB2312" w:cs="仿宋_GB2312"/>
          <w:color w:val="000000"/>
          <w:szCs w:val="32"/>
        </w:rPr>
        <w:t>等乡镇延伸。在广阔渠沿线新建泵站，工业和生活联合共用，解决全县工业园区和茨芭、薛店等8个乡镇生活用水问题。“十四五”期间，确保农村集中供水率100%，农村自来水普及率100%，农村集中式水源水质达标率100%。</w:t>
      </w:r>
    </w:p>
    <w:tbl>
      <w:tblPr>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rPr>
          <w:trHeight w:val="497" w:hRule="atLeast"/>
        </w:trPr>
        <w:tc>
          <w:tcPr>
            <w:tcW w:w="8240" w:type="dxa"/>
            <w:vAlign w:val="center"/>
          </w:tcPr>
          <w:p>
            <w:pPr>
              <w:jc w:val="center"/>
              <w:rPr>
                <w:rFonts w:ascii="仿宋" w:hAnsi="仿宋" w:eastAsia="仿宋" w:cs="仿宋"/>
                <w:color w:val="000000"/>
                <w:sz w:val="24"/>
              </w:rPr>
            </w:pPr>
            <w:r>
              <w:rPr>
                <w:rFonts w:hint="eastAsia" w:ascii="仿宋_GB2312" w:hAnsi="楷体" w:eastAsia="仿宋_GB2312" w:cs="仿宋"/>
                <w:b/>
                <w:bCs/>
                <w:color w:val="000000"/>
                <w:kern w:val="0"/>
                <w:sz w:val="24"/>
              </w:rPr>
              <w:t>专栏1</w:t>
            </w:r>
            <w:r>
              <w:rPr>
                <w:rFonts w:ascii="仿宋_GB2312" w:hAnsi="楷体" w:eastAsia="仿宋_GB2312" w:cs="仿宋"/>
                <w:b/>
                <w:bCs/>
                <w:color w:val="000000"/>
                <w:kern w:val="0"/>
                <w:sz w:val="24"/>
              </w:rPr>
              <w:t>6</w:t>
            </w:r>
            <w:r>
              <w:rPr>
                <w:rFonts w:hint="eastAsia" w:ascii="仿宋_GB2312" w:hAnsi="楷体" w:eastAsia="仿宋_GB2312" w:cs="仿宋"/>
                <w:b/>
                <w:bCs/>
                <w:color w:val="000000"/>
                <w:kern w:val="0"/>
                <w:sz w:val="24"/>
              </w:rPr>
              <w:t>：水利设施建设重点项目</w:t>
            </w:r>
          </w:p>
        </w:tc>
      </w:tr>
      <w:tr>
        <w:trPr>
          <w:trHeight w:val="90" w:hRule="atLeast"/>
        </w:trPr>
        <w:tc>
          <w:tcPr>
            <w:tcW w:w="8240" w:type="dxa"/>
            <w:vAlign w:val="center"/>
          </w:tcPr>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水网体系建设工程。</w:t>
            </w:r>
            <w:r>
              <w:rPr>
                <w:rFonts w:hint="eastAsia" w:ascii="仿宋_GB2312" w:hAnsi="仿宋_GB2312" w:eastAsia="仿宋_GB2312" w:cs="仿宋_GB2312"/>
                <w:color w:val="000000"/>
                <w:sz w:val="24"/>
              </w:rPr>
              <w:t>加快构建“五横十三纵”水网体系，五横即北汝河、广阔渠、南水北调工程、引陆济郏工程、昭平台灌区北干渠调水入郏工程，十三纵即干河、鲁医河、二十里铺河、青龙河、双庙河、叶犟河、胡河、肖河、蓝河、三险河、柳杨河、芝河、运粮河。</w:t>
            </w:r>
          </w:p>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防洪排涝保安体系建设工程。</w:t>
            </w:r>
            <w:r>
              <w:rPr>
                <w:rFonts w:hint="eastAsia" w:ascii="仿宋_GB2312" w:hAnsi="仿宋_GB2312" w:eastAsia="仿宋_GB2312" w:cs="仿宋_GB2312"/>
                <w:color w:val="000000"/>
                <w:sz w:val="24"/>
              </w:rPr>
              <w:t>实施前坪水库调水入郏工程。推动陆浑水库引水济郏工程。完成郏县广阔渠和恒压灌区提质增效、恒压灌区10万亩中型灌区扩建、北汝河郏县剩余河段治理、县域水系连通二期工程。实施芝河袁庄水闸、蓝河冢头水闸除险加固、蓝河罗沟水闸改建、寺街水库治漏工程。完成赵寨橡胶坝上下游和堂街橡胶坝上游河道整治工程。</w:t>
            </w:r>
          </w:p>
          <w:p>
            <w:pPr>
              <w:widowControl w:val="0"/>
              <w:wordWrap/>
              <w:adjustRightInd/>
              <w:snapToGrid/>
              <w:spacing w:line="400" w:lineRule="exact"/>
              <w:ind w:firstLine="482" w:firstLineChars="200"/>
              <w:textAlignment w:val="auto"/>
              <w:rPr>
                <w:color w:val="000000"/>
              </w:rPr>
            </w:pPr>
            <w:r>
              <w:rPr>
                <w:rFonts w:hint="eastAsia" w:ascii="仿宋_GB2312" w:hAnsi="仿宋_GB2312" w:eastAsia="仿宋_GB2312" w:cs="仿宋_GB2312"/>
                <w:b/>
                <w:bCs/>
                <w:color w:val="000000"/>
                <w:sz w:val="24"/>
              </w:rPr>
              <w:t>城乡供水一体化项目：</w:t>
            </w:r>
            <w:r>
              <w:rPr>
                <w:rFonts w:hint="eastAsia" w:ascii="仿宋_GB2312" w:hAnsi="仿宋_GB2312" w:eastAsia="仿宋_GB2312" w:cs="仿宋_GB2312"/>
                <w:color w:val="000000"/>
                <w:sz w:val="24"/>
              </w:rPr>
              <w:t>建设实施十四五农村饮水工程，解决郏县北部山丘区20万口人的生活用水；在广阔渠沿线新建泵站，解决郏县6大工业园区和茨芭镇、薛店镇等8个乡镇生活用水问题；利用郏县北汝河城区橡胶坝、堂街镇恒压橡胶坝蓄水工程解决城区、王集、堂街、李口、姚庄等乡镇群众饮水问题。</w:t>
            </w:r>
          </w:p>
        </w:tc>
      </w:tr>
    </w:tbl>
    <w:p>
      <w:pPr>
        <w:pStyle w:val="42"/>
        <w:spacing w:beforeLines="50" w:afterLines="50"/>
        <w:rPr>
          <w:b w:val="0"/>
          <w:bCs/>
          <w:color w:val="000000"/>
          <w:szCs w:val="32"/>
        </w:rPr>
      </w:pPr>
      <w:bookmarkStart w:id="209" w:name="_Toc62991792"/>
      <w:bookmarkStart w:id="210" w:name="_Toc62406533"/>
      <w:bookmarkStart w:id="211" w:name="_Toc14132"/>
      <w:r>
        <w:rPr>
          <w:rFonts w:hint="eastAsia"/>
          <w:b w:val="0"/>
          <w:bCs/>
          <w:color w:val="000000"/>
          <w:szCs w:val="32"/>
        </w:rPr>
        <w:t>第三章  强化能源支撑保障能力</w:t>
      </w:r>
      <w:bookmarkEnd w:id="209"/>
      <w:bookmarkEnd w:id="210"/>
      <w:bookmarkEnd w:id="211"/>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推进能源有序发展与可持续利用，优化能源结构，逐步提高清洁能源比重，构筑稳定、经济、清洁、安全的能源供应体系。</w:t>
      </w:r>
    </w:p>
    <w:p>
      <w:pPr>
        <w:pStyle w:val="43"/>
        <w:spacing w:beforeLines="50" w:afterLines="50"/>
        <w:rPr>
          <w:b/>
          <w:bCs/>
          <w:color w:val="000000"/>
          <w:sz w:val="36"/>
          <w:szCs w:val="36"/>
        </w:rPr>
      </w:pPr>
      <w:bookmarkStart w:id="212" w:name="_Toc62991793"/>
      <w:bookmarkStart w:id="213" w:name="_Toc62406534"/>
      <w:bookmarkStart w:id="214" w:name="_Toc25624"/>
      <w:r>
        <w:rPr>
          <w:rFonts w:hint="eastAsia"/>
          <w:b/>
          <w:bCs/>
          <w:color w:val="000000"/>
          <w:sz w:val="36"/>
          <w:szCs w:val="36"/>
        </w:rPr>
        <w:t>第一节  加快新一轮农村电网改造升级</w:t>
      </w:r>
      <w:bookmarkEnd w:id="212"/>
      <w:bookmarkEnd w:id="213"/>
      <w:bookmarkEnd w:id="214"/>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加强电源点和输变电工程建设，逐步提高农村电网信息化、自动化和智能化水平，解决农村供电“卡脖子”和“低电压”问题。实施产业园区增量配电、能源改造工程。完成郝庄110千伏输变电、太朴寨110千伏输变电、城南110千伏输变电、县南220千伏输变电、县南220千伏变电站110千伏送出等项目。进一步完善能源调峰补偿机制，推动储能技术应用。完善应急保障预案，建立能源监测预警体系。</w:t>
      </w:r>
    </w:p>
    <w:p>
      <w:pPr>
        <w:pStyle w:val="43"/>
        <w:spacing w:beforeLines="50" w:afterLines="50" w:line="600" w:lineRule="exact"/>
        <w:rPr>
          <w:b/>
          <w:bCs/>
          <w:color w:val="000000"/>
          <w:sz w:val="36"/>
          <w:szCs w:val="36"/>
        </w:rPr>
      </w:pPr>
      <w:bookmarkStart w:id="215" w:name="_Toc62991794"/>
      <w:bookmarkStart w:id="216" w:name="_Toc62406535"/>
      <w:bookmarkStart w:id="217" w:name="_Toc12197"/>
      <w:r>
        <w:rPr>
          <w:rFonts w:hint="eastAsia"/>
          <w:b/>
          <w:bCs/>
          <w:color w:val="000000"/>
          <w:sz w:val="36"/>
          <w:szCs w:val="36"/>
        </w:rPr>
        <w:t>第二节  优化能源结构</w:t>
      </w:r>
      <w:bookmarkEnd w:id="215"/>
      <w:bookmarkEnd w:id="216"/>
      <w:bookmarkEnd w:id="217"/>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大力发展风能、太阳能、地热能、生物质能等可再生能源资源，推进分布式可再生电力、热力、燃气等在用户侧直接就近利用，提升可再生能源在区域能源供应中的比重。实施尖山村10MW分散式风电、竹园沟10MW分散式风电、马头崖12MW分散式风电、30MW生物质气电联产、100兆瓦平价光伏发电等清洁能源项目。推进乡镇天然气基础设施建设，依托平煤燃气、天伦燃气、新奥燃气，加快乡镇天然气场站、燃气管网、调压设施、CNG加气站、LNG储气站、应急抢险调度服务中心等燃气基础设施建设，完成李口、堂街、长桥、冢头等乡镇供气管网敷设和薛店、茨芭、渣园煤改气工程，实现农村天然气“村村通”“户户通”。积极探索推进地热能开发利用，在完成地热勘探的基础上向紫东苑、实验高中等供热试点供暖，并逐年向老城区、姚庄、堂街一带辐射。进一步完善能源调峰补偿机制，推动储能技术应用。完善应急保障预案，建立能源监测预警体系。</w:t>
      </w:r>
    </w:p>
    <w:tbl>
      <w:tblPr>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rPr>
          <w:trHeight w:val="497" w:hRule="atLeast"/>
        </w:trPr>
        <w:tc>
          <w:tcPr>
            <w:tcW w:w="8240" w:type="dxa"/>
            <w:vAlign w:val="center"/>
          </w:tcPr>
          <w:p>
            <w:pPr>
              <w:jc w:val="center"/>
              <w:rPr>
                <w:rFonts w:ascii="仿宋" w:hAnsi="仿宋" w:eastAsia="仿宋" w:cs="仿宋"/>
                <w:color w:val="000000"/>
                <w:sz w:val="24"/>
              </w:rPr>
            </w:pPr>
            <w:r>
              <w:rPr>
                <w:rFonts w:hint="eastAsia" w:ascii="仿宋_GB2312" w:hAnsi="楷体" w:eastAsia="仿宋_GB2312" w:cs="仿宋"/>
                <w:b/>
                <w:bCs/>
                <w:color w:val="000000"/>
                <w:kern w:val="0"/>
                <w:sz w:val="24"/>
              </w:rPr>
              <w:t>专栏1</w:t>
            </w:r>
            <w:r>
              <w:rPr>
                <w:rFonts w:ascii="仿宋_GB2312" w:hAnsi="楷体" w:eastAsia="仿宋_GB2312" w:cs="仿宋"/>
                <w:b/>
                <w:bCs/>
                <w:color w:val="000000"/>
                <w:kern w:val="0"/>
                <w:sz w:val="24"/>
              </w:rPr>
              <w:t>7</w:t>
            </w:r>
            <w:r>
              <w:rPr>
                <w:rFonts w:hint="eastAsia" w:ascii="仿宋_GB2312" w:hAnsi="楷体" w:eastAsia="仿宋_GB2312" w:cs="仿宋"/>
                <w:b/>
                <w:bCs/>
                <w:color w:val="000000"/>
                <w:kern w:val="0"/>
                <w:sz w:val="24"/>
              </w:rPr>
              <w:t>：能源设施建设重点项目</w:t>
            </w:r>
          </w:p>
        </w:tc>
      </w:tr>
      <w:tr>
        <w:trPr>
          <w:trHeight w:val="5620" w:hRule="atLeast"/>
        </w:trPr>
        <w:tc>
          <w:tcPr>
            <w:tcW w:w="8240" w:type="dxa"/>
            <w:vAlign w:val="center"/>
          </w:tcPr>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城乡电网升级改造工程。</w:t>
            </w:r>
            <w:r>
              <w:rPr>
                <w:rFonts w:hint="eastAsia" w:ascii="仿宋_GB2312" w:hAnsi="仿宋_GB2312" w:eastAsia="仿宋_GB2312" w:cs="仿宋_GB2312"/>
                <w:color w:val="000000"/>
                <w:sz w:val="24"/>
              </w:rPr>
              <w:t>完成郏县城南220千伏输变电工程，新增180兆伏安主变1台，新建220千伏线路18千米；完成110千伏输变电工程，郝庄新增50兆伏安主变1台，新建110千伏线路2.8千米，太朴寨新增50兆伏安主变1台，新建110千伏线路15千米，城南新增50兆伏安主变1台，新建110千伏线路10千米，城南新建110千伏线路22.2千米；完成一批10千伏线路新建改造项目</w:t>
            </w:r>
          </w:p>
          <w:p>
            <w:pPr>
              <w:widowControl w:val="0"/>
              <w:wordWrap/>
              <w:adjustRightInd/>
              <w:snapToGrid/>
              <w:spacing w:line="400" w:lineRule="exact"/>
              <w:ind w:firstLine="482" w:firstLineChars="200"/>
              <w:textAlignment w:val="auto"/>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农村天然气工程。</w:t>
            </w:r>
            <w:r>
              <w:rPr>
                <w:rFonts w:hint="eastAsia" w:ascii="仿宋_GB2312" w:hAnsi="仿宋_GB2312" w:eastAsia="仿宋_GB2312" w:cs="仿宋_GB2312"/>
                <w:color w:val="000000"/>
                <w:sz w:val="24"/>
              </w:rPr>
              <w:t>铺设李口镇天然气管道12公里，堂街镇、长桥镇、冢头镇安装用户34468户，建设村内中低压燃气管道65公里，建设城市中压燃气管道184.15公里，完成薛店镇、茨芭镇、渣园乡煤改气工程；完成安良陶瓷园区集中式供气基地和广天铁锅园区天然气供应站建设。</w:t>
            </w:r>
          </w:p>
          <w:p>
            <w:pPr>
              <w:widowControl w:val="0"/>
              <w:wordWrap/>
              <w:adjustRightInd/>
              <w:snapToGrid/>
              <w:spacing w:line="400" w:lineRule="exact"/>
              <w:ind w:firstLine="482" w:firstLineChars="200"/>
              <w:textAlignment w:val="auto"/>
              <w:rPr>
                <w:color w:val="000000"/>
              </w:rPr>
            </w:pPr>
            <w:r>
              <w:rPr>
                <w:rFonts w:hint="eastAsia" w:ascii="仿宋_GB2312" w:hAnsi="仿宋_GB2312" w:eastAsia="仿宋_GB2312" w:cs="仿宋_GB2312"/>
                <w:b/>
                <w:bCs/>
                <w:color w:val="000000"/>
                <w:sz w:val="24"/>
              </w:rPr>
              <w:t>其他新能源工程。</w:t>
            </w:r>
            <w:r>
              <w:rPr>
                <w:rFonts w:hint="eastAsia" w:ascii="仿宋_GB2312" w:hAnsi="仿宋_GB2312" w:eastAsia="仿宋_GB2312" w:cs="仿宋_GB2312"/>
                <w:color w:val="000000"/>
                <w:sz w:val="24"/>
              </w:rPr>
              <w:t>实施30MW生物质气电联产项目；实施尖山村10MW、竹园沟10MW、马头崖12MW等一批分散式风电项目；实施100兆瓦平价光伏发电项目。</w:t>
            </w:r>
          </w:p>
        </w:tc>
      </w:tr>
    </w:tbl>
    <w:p>
      <w:pPr>
        <w:pStyle w:val="42"/>
        <w:spacing w:beforeLines="50" w:afterLines="50"/>
        <w:rPr>
          <w:b w:val="0"/>
          <w:bCs/>
          <w:color w:val="000000"/>
          <w:szCs w:val="32"/>
        </w:rPr>
      </w:pPr>
      <w:bookmarkStart w:id="218" w:name="_Toc62406536"/>
      <w:bookmarkStart w:id="219" w:name="_Toc22655"/>
      <w:bookmarkStart w:id="220" w:name="_Toc62991795"/>
      <w:r>
        <w:rPr>
          <w:rFonts w:hint="eastAsia"/>
          <w:b w:val="0"/>
          <w:bCs/>
          <w:color w:val="000000"/>
          <w:szCs w:val="32"/>
        </w:rPr>
        <w:t>第四章  加快高速信息网络建设</w:t>
      </w:r>
      <w:bookmarkEnd w:id="218"/>
      <w:bookmarkEnd w:id="219"/>
      <w:bookmarkEnd w:id="220"/>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以推进基础网络升级、深化网络应用为重点，深入推进宽带提速降费、网络持续优化、服务品质提升，建设“智慧郏县”。</w:t>
      </w:r>
    </w:p>
    <w:p>
      <w:pPr>
        <w:pStyle w:val="43"/>
        <w:spacing w:beforeLines="50" w:afterLines="50"/>
        <w:rPr>
          <w:b/>
          <w:bCs/>
          <w:color w:val="000000"/>
          <w:sz w:val="36"/>
          <w:szCs w:val="36"/>
        </w:rPr>
      </w:pPr>
      <w:bookmarkStart w:id="221" w:name="_Toc62991796"/>
      <w:bookmarkStart w:id="222" w:name="_Toc29920"/>
      <w:bookmarkStart w:id="223" w:name="_Toc62406537"/>
      <w:r>
        <w:rPr>
          <w:rFonts w:hint="eastAsia"/>
          <w:b/>
          <w:bCs/>
          <w:color w:val="000000"/>
          <w:sz w:val="36"/>
          <w:szCs w:val="36"/>
        </w:rPr>
        <w:t>第一节  加快建设新一代信息基础设施网络</w:t>
      </w:r>
      <w:bookmarkEnd w:id="221"/>
      <w:bookmarkEnd w:id="222"/>
      <w:bookmarkEnd w:id="223"/>
    </w:p>
    <w:p>
      <w:pPr>
        <w:pStyle w:val="29"/>
        <w:spacing w:line="580" w:lineRule="exact"/>
        <w:ind w:firstLine="640"/>
        <w:rPr>
          <w:rFonts w:ascii="仿宋_GB2312" w:hAnsi="仿宋_GB2312" w:cs="仿宋_GB2312"/>
          <w:color w:val="000000"/>
          <w:spacing w:val="-6"/>
          <w:szCs w:val="32"/>
        </w:rPr>
      </w:pPr>
      <w:r>
        <w:rPr>
          <w:rFonts w:hint="eastAsia" w:ascii="仿宋_GB2312" w:hAnsi="仿宋_GB2312" w:cs="仿宋_GB2312"/>
          <w:color w:val="000000"/>
          <w:szCs w:val="32"/>
        </w:rPr>
        <w:t>加速普及固定宽带、移动宽带、5G网络建设，完善新一代光纤网络，构建高速大容量光通信传输系统，提升高速传送、灵活调度和智能适配能力。推进无线宽带网向架构扁平化</w:t>
      </w:r>
      <w:r>
        <w:rPr>
          <w:rFonts w:hint="eastAsia" w:ascii="仿宋_GB2312" w:hAnsi="仿宋_GB2312" w:cs="仿宋_GB2312"/>
          <w:color w:val="000000"/>
          <w:spacing w:val="-6"/>
          <w:szCs w:val="32"/>
        </w:rPr>
        <w:t>、接入手段多样化、承载分组化、传输高速化方向发展，优化4G网络覆盖质量，推进5G网络规模部署，实现城区家庭千兆宽带、20户以上自然村百兆光纤和县域5G信号全覆盖。</w:t>
      </w:r>
    </w:p>
    <w:p>
      <w:pPr>
        <w:pStyle w:val="43"/>
        <w:spacing w:beforeLines="50" w:afterLines="50"/>
        <w:rPr>
          <w:b/>
          <w:bCs/>
          <w:color w:val="000000"/>
          <w:sz w:val="36"/>
          <w:szCs w:val="36"/>
        </w:rPr>
      </w:pPr>
      <w:bookmarkStart w:id="224" w:name="_Toc62991797"/>
      <w:bookmarkStart w:id="225" w:name="_Toc62406538"/>
      <w:bookmarkStart w:id="226" w:name="_Toc28315"/>
      <w:r>
        <w:rPr>
          <w:rFonts w:hint="eastAsia"/>
          <w:b/>
          <w:bCs/>
          <w:color w:val="000000"/>
          <w:sz w:val="36"/>
          <w:szCs w:val="36"/>
        </w:rPr>
        <w:t>第二节  加强农村信息网络建设</w:t>
      </w:r>
      <w:bookmarkEnd w:id="224"/>
      <w:bookmarkEnd w:id="225"/>
      <w:bookmarkEnd w:id="226"/>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深入推进电信普遍服务试点，落实农村地区网络提速降费政策，加快益农信息社建设，以农民办事不出村信息平台网络为基础，积极引导电信运营商、电商、金融机构等共同推进信息进村入户。推进“无线乡村”建设，启动农村人口集中区域公共WiFi系统建设，覆盖文体活动场所、乡村旅游景区等重要区域。</w:t>
      </w:r>
    </w:p>
    <w:p>
      <w:pPr>
        <w:pStyle w:val="43"/>
        <w:spacing w:beforeLines="50" w:afterLines="50"/>
        <w:rPr>
          <w:color w:val="000000"/>
          <w:szCs w:val="32"/>
        </w:rPr>
      </w:pPr>
      <w:bookmarkStart w:id="227" w:name="_Toc62406539"/>
      <w:bookmarkStart w:id="228" w:name="_Toc62991798"/>
      <w:bookmarkStart w:id="229" w:name="_Toc6598"/>
      <w:r>
        <w:rPr>
          <w:rFonts w:hint="eastAsia"/>
          <w:b/>
          <w:bCs/>
          <w:color w:val="000000"/>
          <w:sz w:val="36"/>
          <w:szCs w:val="36"/>
        </w:rPr>
        <w:t>第三节  打造高质量5G+创新业务智慧平台</w:t>
      </w:r>
      <w:bookmarkEnd w:id="227"/>
      <w:bookmarkEnd w:id="228"/>
      <w:bookmarkEnd w:id="229"/>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大力支持县大数据中心建设，积极引进知名互联网、物联网、大数据、云计算企业在我县设立区域基地，形成区域竞争新优势。构建“智慧郏县”政务体系和数据公共服务平台，提升政务服务、骨干企业互联网能力，开展城市治理、民生服务、生态宜居、产业发展“四大应用”，着力推动数字政府和“智慧郏县”建设。</w:t>
      </w:r>
    </w:p>
    <w:tbl>
      <w:tblPr>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rPr>
          <w:trHeight w:val="497" w:hRule="atLeast"/>
        </w:trPr>
        <w:tc>
          <w:tcPr>
            <w:tcW w:w="8240" w:type="dxa"/>
            <w:vAlign w:val="center"/>
          </w:tcPr>
          <w:p>
            <w:pPr>
              <w:jc w:val="center"/>
              <w:rPr>
                <w:rFonts w:ascii="仿宋" w:hAnsi="仿宋" w:eastAsia="仿宋" w:cs="仿宋"/>
                <w:color w:val="000000"/>
                <w:sz w:val="24"/>
              </w:rPr>
            </w:pPr>
            <w:r>
              <w:rPr>
                <w:rFonts w:hint="eastAsia" w:ascii="仿宋_GB2312" w:hAnsi="楷体" w:eastAsia="仿宋_GB2312" w:cs="仿宋"/>
                <w:b/>
                <w:bCs/>
                <w:color w:val="000000"/>
                <w:kern w:val="0"/>
                <w:sz w:val="24"/>
              </w:rPr>
              <w:t>专栏</w:t>
            </w:r>
            <w:r>
              <w:rPr>
                <w:rFonts w:ascii="仿宋_GB2312" w:hAnsi="楷体" w:eastAsia="仿宋_GB2312" w:cs="仿宋"/>
                <w:b/>
                <w:bCs/>
                <w:color w:val="000000"/>
                <w:kern w:val="0"/>
                <w:sz w:val="24"/>
              </w:rPr>
              <w:t>18</w:t>
            </w:r>
            <w:r>
              <w:rPr>
                <w:rFonts w:hint="eastAsia" w:ascii="仿宋_GB2312" w:hAnsi="楷体" w:eastAsia="仿宋_GB2312" w:cs="仿宋"/>
                <w:b/>
                <w:bCs/>
                <w:color w:val="000000"/>
                <w:kern w:val="0"/>
                <w:sz w:val="24"/>
              </w:rPr>
              <w:t>：信息网络建设重点项目</w:t>
            </w:r>
          </w:p>
        </w:tc>
      </w:tr>
      <w:tr>
        <w:trPr>
          <w:trHeight w:val="402" w:hRule="atLeast"/>
        </w:trPr>
        <w:tc>
          <w:tcPr>
            <w:tcW w:w="8240" w:type="dxa"/>
            <w:vAlign w:val="center"/>
          </w:tcPr>
          <w:p>
            <w:pPr>
              <w:spacing w:line="400" w:lineRule="exact"/>
              <w:ind w:firstLine="482" w:firstLineChars="20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信息基础设施建设工程。</w:t>
            </w:r>
            <w:r>
              <w:rPr>
                <w:rFonts w:hint="eastAsia" w:ascii="仿宋_GB2312" w:hAnsi="仿宋_GB2312" w:eastAsia="仿宋_GB2312" w:cs="仿宋_GB2312"/>
                <w:color w:val="000000"/>
                <w:sz w:val="24"/>
              </w:rPr>
              <w:t>新建590个5G基站，实现县域5G网络全覆盖；实施“无线乡村”建设工程，推进农村人口集中区域公共WiFi覆盖。</w:t>
            </w:r>
          </w:p>
          <w:p>
            <w:pPr>
              <w:spacing w:line="400" w:lineRule="exact"/>
              <w:ind w:firstLine="482" w:firstLineChars="200"/>
              <w:rPr>
                <w:color w:val="000000"/>
              </w:rPr>
            </w:pPr>
            <w:r>
              <w:rPr>
                <w:rFonts w:hint="eastAsia" w:ascii="仿宋_GB2312" w:hAnsi="仿宋_GB2312" w:eastAsia="仿宋_GB2312" w:cs="仿宋_GB2312"/>
                <w:b/>
                <w:bCs/>
                <w:color w:val="000000"/>
                <w:sz w:val="24"/>
              </w:rPr>
              <w:t>智慧平台建设工程。</w:t>
            </w:r>
            <w:r>
              <w:rPr>
                <w:rFonts w:hint="eastAsia" w:ascii="仿宋_GB2312" w:hAnsi="仿宋_GB2312" w:eastAsia="仿宋_GB2312" w:cs="仿宋_GB2312"/>
                <w:color w:val="000000"/>
                <w:sz w:val="24"/>
              </w:rPr>
              <w:t>建设郏县大数据中心；建设“智慧郏县”云平台，建设政务信息资源交换共享平台及公共信息服务平台。</w:t>
            </w:r>
          </w:p>
        </w:tc>
      </w:tr>
    </w:tbl>
    <w:p>
      <w:pPr>
        <w:pStyle w:val="41"/>
        <w:spacing w:beforeLines="100" w:afterLines="100" w:line="580" w:lineRule="exact"/>
        <w:rPr>
          <w:rFonts w:hint="eastAsia" w:ascii="方正小标宋_GBK" w:hAnsi="方正小标宋_GBK" w:eastAsia="方正小标宋_GBK" w:cs="方正小标宋_GBK"/>
          <w:b w:val="0"/>
          <w:color w:val="000000"/>
          <w:sz w:val="32"/>
          <w:szCs w:val="32"/>
        </w:rPr>
      </w:pPr>
      <w:bookmarkStart w:id="230" w:name="_Toc62991799"/>
      <w:bookmarkStart w:id="231" w:name="_Toc100"/>
      <w:r>
        <w:rPr>
          <w:rFonts w:hint="eastAsia" w:ascii="方正小标宋_GBK" w:hAnsi="方正小标宋_GBK" w:eastAsia="方正小标宋_GBK" w:cs="方正小标宋_GBK"/>
          <w:b w:val="0"/>
          <w:color w:val="000000"/>
          <w:sz w:val="32"/>
          <w:szCs w:val="32"/>
        </w:rPr>
        <w:t>第七篇  提升文化软实力，</w:t>
      </w:r>
      <w:bookmarkEnd w:id="230"/>
      <w:r>
        <w:rPr>
          <w:rFonts w:hint="eastAsia" w:ascii="方正小标宋_GBK" w:hAnsi="方正小标宋_GBK" w:eastAsia="方正小标宋_GBK" w:cs="方正小标宋_GBK"/>
          <w:b w:val="0"/>
          <w:color w:val="000000"/>
          <w:sz w:val="32"/>
          <w:szCs w:val="32"/>
        </w:rPr>
        <w:t>塑造高质量发展新面貌</w:t>
      </w:r>
      <w:bookmarkEnd w:id="231"/>
      <w:bookmarkEnd w:id="434"/>
    </w:p>
    <w:p>
      <w:pPr>
        <w:ind w:firstLine="640" w:firstLineChars="200"/>
        <w:rPr>
          <w:rFonts w:ascii="仿宋_GB2312" w:hAnsi="仿宋_GB2312" w:eastAsia="仿宋_GB2312" w:cs="仿宋_GB2312"/>
          <w:color w:val="000000"/>
          <w:sz w:val="32"/>
          <w:szCs w:val="32"/>
        </w:rPr>
      </w:pPr>
      <w:bookmarkStart w:id="232" w:name="_Toc10159"/>
      <w:bookmarkStart w:id="233" w:name="_Toc9997"/>
      <w:bookmarkStart w:id="234" w:name="_Toc8986"/>
      <w:r>
        <w:rPr>
          <w:rFonts w:hint="eastAsia" w:ascii="仿宋_GB2312" w:hAnsi="仿宋_GB2312" w:eastAsia="仿宋_GB2312" w:cs="仿宋_GB2312"/>
          <w:color w:val="000000"/>
          <w:sz w:val="32"/>
          <w:szCs w:val="32"/>
        </w:rPr>
        <w:t>切实践行社会主义核心价值观，全面推动更高层次的社会文明建设，加快健全公共文化服务体系，大力开展文化惠民活动，推动文化事业产业繁荣发展，努力实现“文化资源大县”向“文化强县”跨越。</w:t>
      </w:r>
      <w:bookmarkEnd w:id="232"/>
      <w:bookmarkEnd w:id="233"/>
    </w:p>
    <w:p>
      <w:pPr>
        <w:pStyle w:val="42"/>
        <w:spacing w:beforeLines="50" w:afterLines="50"/>
        <w:rPr>
          <w:b w:val="0"/>
          <w:bCs/>
          <w:color w:val="000000"/>
          <w:szCs w:val="32"/>
        </w:rPr>
      </w:pPr>
      <w:bookmarkStart w:id="235" w:name="_Toc62991800"/>
      <w:bookmarkStart w:id="236" w:name="_Toc16537"/>
      <w:r>
        <w:rPr>
          <w:rFonts w:hint="eastAsia"/>
          <w:b w:val="0"/>
          <w:bCs/>
          <w:color w:val="000000"/>
          <w:szCs w:val="32"/>
        </w:rPr>
        <w:t>第一章 推动更高层次的社会文明建设</w:t>
      </w:r>
      <w:bookmarkEnd w:id="235"/>
      <w:bookmarkEnd w:id="236"/>
    </w:p>
    <w:p>
      <w:pPr>
        <w:overflowPunct w:val="0"/>
        <w:spacing w:line="587" w:lineRule="exact"/>
        <w:ind w:firstLine="624" w:firstLineChars="195"/>
        <w:rPr>
          <w:rFonts w:ascii="仿宋_GB2312" w:hAnsi="仿宋_GB2312" w:eastAsia="仿宋_GB2312" w:cs="仿宋_GB2312"/>
          <w:color w:val="000000"/>
          <w:sz w:val="32"/>
          <w:szCs w:val="32"/>
        </w:rPr>
      </w:pPr>
      <w:bookmarkStart w:id="237" w:name="_Toc62991801"/>
      <w:bookmarkStart w:id="238" w:name="_Toc30556"/>
      <w:bookmarkStart w:id="239" w:name="_Toc6803"/>
      <w:r>
        <w:rPr>
          <w:rFonts w:hint="eastAsia" w:ascii="仿宋_GB2312" w:hAnsi="仿宋_GB2312" w:eastAsia="仿宋_GB2312" w:cs="仿宋_GB2312"/>
          <w:color w:val="000000"/>
          <w:sz w:val="32"/>
          <w:szCs w:val="32"/>
        </w:rPr>
        <w:t>坚持马克思主义指导地位，坚持用习近平新时代中国特色社会主义思想武装头脑、指导实践，牢牢把握正确舆论导向，推动形成适应新时代要求的思想观念、精神面貌、文明风尚、行为规范。</w:t>
      </w:r>
    </w:p>
    <w:p>
      <w:pPr>
        <w:pStyle w:val="43"/>
        <w:spacing w:afterLines="50"/>
        <w:rPr>
          <w:b/>
          <w:bCs/>
          <w:color w:val="000000"/>
          <w:sz w:val="36"/>
          <w:szCs w:val="36"/>
        </w:rPr>
      </w:pPr>
      <w:bookmarkStart w:id="240" w:name="_Toc24189"/>
      <w:r>
        <w:rPr>
          <w:rFonts w:hint="eastAsia"/>
          <w:b/>
          <w:bCs/>
          <w:color w:val="000000"/>
          <w:sz w:val="36"/>
          <w:szCs w:val="36"/>
        </w:rPr>
        <w:t>第一节  巩固壮大主流思想舆论</w:t>
      </w:r>
      <w:bookmarkEnd w:id="237"/>
      <w:bookmarkEnd w:id="240"/>
    </w:p>
    <w:p>
      <w:pPr>
        <w:overflowPunct w:val="0"/>
        <w:spacing w:line="587" w:lineRule="exact"/>
        <w:ind w:firstLine="624" w:firstLineChars="19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入学习习近平新时代中国特色社会主义思想，创新传播手段和表达方式，用群众的语言、喜闻乐见的形式宣传科学理论、阐释方针政策、传播主流价值，推动党的创新理论深入人心。完善坚持正确导向的舆论引导工作机制，更好地团结人民、凝心聚力、鼓舞士气，把广大干部群众的思想和行动凝聚到为实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两个一百年</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奋斗目标、实现中华民族伟大复兴的中国梦而奋斗上来。结合建党一百周年庆祝活动，</w:t>
      </w:r>
      <w:r>
        <w:rPr>
          <w:rFonts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rPr>
        <w:t>编纂郏县党史第三卷，同时抓好农村红色教育场馆建设，</w:t>
      </w:r>
      <w:r>
        <w:rPr>
          <w:rFonts w:ascii="仿宋_GB2312" w:hAnsi="仿宋_GB2312" w:eastAsia="仿宋_GB2312" w:cs="仿宋_GB2312"/>
          <w:color w:val="000000"/>
          <w:sz w:val="32"/>
          <w:szCs w:val="32"/>
        </w:rPr>
        <w:t>积极</w:t>
      </w:r>
      <w:r>
        <w:rPr>
          <w:rFonts w:hint="eastAsia" w:ascii="仿宋_GB2312" w:hAnsi="仿宋_GB2312" w:eastAsia="仿宋_GB2312" w:cs="仿宋_GB2312"/>
          <w:color w:val="000000"/>
          <w:sz w:val="32"/>
          <w:szCs w:val="32"/>
        </w:rPr>
        <w:t>推进党史教育进学校、进机关、进社区、进农村、进企业。强化资金保障，加强政策支持，探索建立“新闻</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政务服务商务”的运营模式，支持媒体深度融合发展，加强与中央、省级主流媒体平台合作，建强党在基层的主流舆论阵地，全面提升县融媒体中心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媒体</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功能。</w:t>
      </w:r>
    </w:p>
    <w:p>
      <w:pPr>
        <w:pStyle w:val="43"/>
        <w:spacing w:beforeLines="50" w:afterLines="50"/>
        <w:rPr>
          <w:b/>
          <w:bCs/>
          <w:color w:val="000000"/>
          <w:sz w:val="36"/>
          <w:szCs w:val="36"/>
        </w:rPr>
      </w:pPr>
      <w:bookmarkStart w:id="241" w:name="_Toc62991802"/>
      <w:bookmarkStart w:id="242" w:name="_Toc31030"/>
      <w:r>
        <w:rPr>
          <w:rFonts w:hint="eastAsia"/>
          <w:b/>
          <w:bCs/>
          <w:color w:val="000000"/>
          <w:sz w:val="36"/>
          <w:szCs w:val="36"/>
        </w:rPr>
        <w:t>第二节  推进新时代公民道德建设</w:t>
      </w:r>
      <w:bookmarkEnd w:id="241"/>
      <w:bookmarkEnd w:id="242"/>
    </w:p>
    <w:p>
      <w:pPr>
        <w:ind w:firstLine="640" w:firstLineChars="200"/>
        <w:rPr>
          <w:rFonts w:eastAsia="楷体_GB2312"/>
          <w:b/>
          <w:bCs/>
          <w:color w:val="000000"/>
          <w:sz w:val="32"/>
          <w:szCs w:val="32"/>
        </w:rPr>
      </w:pPr>
      <w:r>
        <w:rPr>
          <w:rFonts w:hint="eastAsia" w:ascii="仿宋_GB2312" w:hAnsi="仿宋_GB2312" w:eastAsia="仿宋_GB2312" w:cs="仿宋_GB2312"/>
          <w:color w:val="000000"/>
          <w:sz w:val="32"/>
          <w:szCs w:val="32"/>
        </w:rPr>
        <w:t>大力培育和践行社会主义核心价值观，弘扬中华优秀传统文化和美德，加强社会公德、职业道德、家庭美德、个人品德建设。持续深化群众性精神文明创建活动，积极弘扬崇文重教、尚义求真的优良传统。完善新时代文明实践中心建设。大力弘扬志愿精神，健全志愿服务体系，广泛开展志愿服务关爱行动，推动志愿服务常态化，深化学雷锋志愿服务。加快推进媒体深度融合，不断创新体制机制，探索建立“新闻+政务服务商务”运营模式，大力实施全媒体传播工程，生动讲述出彩郏县和出彩郏县人故事。全面加强烈士陵园建设，进一步发挥爱国主义基地作用。加强未成年道德教育，推进</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学校、家庭、社会</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教育网络三结合。持续开展</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推进移风易俗 倡树文明新风</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专项行动，强化移风易俗宣传教育。</w:t>
      </w:r>
      <w:r>
        <w:rPr>
          <w:rFonts w:eastAsia="仿宋_GB2312"/>
          <w:color w:val="000000"/>
          <w:sz w:val="32"/>
          <w:szCs w:val="32"/>
        </w:rPr>
        <w:t>持续加强网络文明建设，发展积极健康的网络文化。</w:t>
      </w:r>
    </w:p>
    <w:p>
      <w:pPr>
        <w:pStyle w:val="43"/>
        <w:spacing w:beforeLines="50" w:afterLines="50"/>
        <w:rPr>
          <w:b/>
          <w:bCs/>
          <w:color w:val="000000"/>
          <w:sz w:val="36"/>
          <w:szCs w:val="36"/>
        </w:rPr>
      </w:pPr>
      <w:bookmarkStart w:id="243" w:name="_Toc62991803"/>
      <w:bookmarkStart w:id="244" w:name="_Toc23560"/>
      <w:r>
        <w:rPr>
          <w:rFonts w:hint="eastAsia"/>
          <w:b/>
          <w:bCs/>
          <w:color w:val="000000"/>
          <w:sz w:val="36"/>
          <w:szCs w:val="36"/>
        </w:rPr>
        <w:t>第三节  完善文明城市建设长效机制</w:t>
      </w:r>
      <w:bookmarkEnd w:id="243"/>
      <w:bookmarkEnd w:id="244"/>
    </w:p>
    <w:p>
      <w:pPr>
        <w:overflowPunct w:val="0"/>
        <w:spacing w:line="587" w:lineRule="exact"/>
        <w:ind w:firstLine="624" w:firstLineChars="19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全面推进国家文明城市创建，不断完善文明城市建设长效机制，加快擦亮郏县城市形象</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金字招牌</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。牢固树立</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创建永无止境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思想，加大媒体和社会宣传力度，最大限度调动广大群众参与创建文明城市。保持城市建设投入强度，持续推进城市管理精准精细化。持续推进城市治理改革的深度，研究出台城区工作、社区治理、物业管理体制机制，用法治思维和法治方式深化文明城市建设。</w:t>
      </w:r>
      <w:bookmarkEnd w:id="238"/>
      <w:bookmarkEnd w:id="239"/>
    </w:p>
    <w:p>
      <w:pPr>
        <w:pStyle w:val="42"/>
        <w:spacing w:beforeLines="50" w:afterLines="50"/>
        <w:rPr>
          <w:b w:val="0"/>
          <w:bCs/>
          <w:color w:val="000000"/>
          <w:szCs w:val="32"/>
        </w:rPr>
      </w:pPr>
      <w:bookmarkStart w:id="245" w:name="_Toc62991804"/>
      <w:bookmarkStart w:id="246" w:name="_Toc10763"/>
      <w:r>
        <w:rPr>
          <w:rFonts w:hint="eastAsia"/>
          <w:b w:val="0"/>
          <w:bCs/>
          <w:color w:val="000000"/>
          <w:szCs w:val="32"/>
        </w:rPr>
        <w:t>第二章 扎实推进公共文化服务高效能发展</w:t>
      </w:r>
      <w:bookmarkEnd w:id="245"/>
      <w:bookmarkEnd w:id="246"/>
    </w:p>
    <w:p>
      <w:pPr>
        <w:overflowPunct w:val="0"/>
        <w:spacing w:line="587" w:lineRule="exact"/>
        <w:ind w:firstLine="624" w:firstLineChars="195"/>
        <w:rPr>
          <w:rFonts w:ascii="仿宋_GB2312" w:hAnsi="仿宋_GB2312" w:eastAsia="仿宋_GB2312" w:cs="仿宋_GB2312"/>
          <w:color w:val="000000"/>
          <w:sz w:val="32"/>
          <w:szCs w:val="32"/>
        </w:rPr>
      </w:pPr>
      <w:bookmarkStart w:id="247" w:name="_Toc62991805"/>
      <w:bookmarkStart w:id="248" w:name="_Toc4670"/>
      <w:r>
        <w:rPr>
          <w:rFonts w:hint="eastAsia" w:ascii="仿宋_GB2312" w:hAnsi="仿宋_GB2312" w:eastAsia="仿宋_GB2312" w:cs="仿宋_GB2312"/>
          <w:color w:val="000000"/>
          <w:sz w:val="32"/>
          <w:szCs w:val="32"/>
        </w:rPr>
        <w:t>坚持以人民为中心，着力健全城乡公共文化服务供给、管理和保障制度，推进城乡公共文化服务体系一体建设，为人民群众提供更丰富、更优质的精神食粮，更好满足人民群众精神文化生活新期待。</w:t>
      </w:r>
    </w:p>
    <w:p>
      <w:pPr>
        <w:pStyle w:val="43"/>
        <w:spacing w:afterLines="50"/>
        <w:rPr>
          <w:b/>
          <w:bCs/>
          <w:color w:val="000000"/>
          <w:sz w:val="36"/>
          <w:szCs w:val="36"/>
        </w:rPr>
      </w:pPr>
      <w:bookmarkStart w:id="249" w:name="_Toc28233"/>
      <w:r>
        <w:rPr>
          <w:rFonts w:hint="eastAsia"/>
          <w:b/>
          <w:bCs/>
          <w:color w:val="000000"/>
          <w:sz w:val="36"/>
          <w:szCs w:val="36"/>
        </w:rPr>
        <w:t>第一节  进一步健全公共文化服务体系</w:t>
      </w:r>
      <w:bookmarkEnd w:id="247"/>
      <w:bookmarkEnd w:id="249"/>
    </w:p>
    <w:p>
      <w:pPr>
        <w:overflowPunct w:val="0"/>
        <w:spacing w:line="587" w:lineRule="exact"/>
        <w:ind w:firstLine="624" w:firstLineChars="19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以镇村（居）文化服务中心功能提升为抓手，努力完善县镇村三级文化服务体系，加快提升全县基层公共文化阵地服务效能。加快提升</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三馆一站</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等公共文化服务数字化、网络化水平。持续推进城乡公共文化服务体系建设，围绕乡村文化振兴，完善乡（镇）文化分馆建设，指导基层村（居）文化阵地开展公益性文化活动。探索建立城乡公共文化资源双向流动机制，发掘乡村特色文化资源，搭建节庆文艺汇演、非遗和传统技艺展演展示等</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农民进城晒文化</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平台，推动乡村文化走进城市社区。</w:t>
      </w:r>
    </w:p>
    <w:p>
      <w:pPr>
        <w:pStyle w:val="43"/>
        <w:spacing w:beforeLines="50" w:afterLines="50"/>
        <w:rPr>
          <w:b/>
          <w:bCs/>
          <w:color w:val="000000"/>
          <w:sz w:val="36"/>
          <w:szCs w:val="36"/>
        </w:rPr>
      </w:pPr>
      <w:bookmarkStart w:id="250" w:name="_Toc62991806"/>
      <w:bookmarkStart w:id="251" w:name="_Toc8620"/>
      <w:r>
        <w:rPr>
          <w:rFonts w:hint="eastAsia"/>
          <w:b/>
          <w:bCs/>
          <w:color w:val="000000"/>
          <w:sz w:val="36"/>
          <w:szCs w:val="36"/>
        </w:rPr>
        <w:t>第二节  加强优秀文化作品创作和传播</w:t>
      </w:r>
      <w:bookmarkEnd w:id="250"/>
      <w:bookmarkEnd w:id="251"/>
    </w:p>
    <w:p>
      <w:pPr>
        <w:overflowPunct w:val="0"/>
        <w:spacing w:line="587" w:lineRule="exact"/>
        <w:ind w:firstLine="624" w:firstLineChars="19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人民为中心的创作导向，创作更多传播当代中国价值观念、体现中华文化精神、反映中国人审美追求，思想性、艺术性、观赏性有机统一的优秀作品。进一步规范地方志工作，完成地方志书编纂工作，促进地方志的开发利用，发挥地方志记录历史、传承文明、资政育人、服务发展的作用。加快打造反映郏县特色的文艺作品，以全面小康、疫情防控、移风易俗、全域旅游、乡村振兴等为题材，创作一批新品新作。多措并举激发艺术创作活力，整合社会文艺团体组织资源，做强文艺方阵，推进群众文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百花齐放</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p>
    <w:p>
      <w:pPr>
        <w:pStyle w:val="43"/>
        <w:spacing w:beforeLines="50" w:afterLines="50" w:line="600" w:lineRule="exact"/>
        <w:rPr>
          <w:b/>
          <w:bCs/>
          <w:color w:val="000000"/>
          <w:sz w:val="36"/>
          <w:szCs w:val="36"/>
        </w:rPr>
      </w:pPr>
      <w:bookmarkStart w:id="252" w:name="_Toc62991807"/>
      <w:bookmarkStart w:id="253" w:name="_Toc9818"/>
      <w:r>
        <w:rPr>
          <w:rFonts w:hint="eastAsia"/>
          <w:b/>
          <w:bCs/>
          <w:color w:val="000000"/>
          <w:sz w:val="36"/>
          <w:szCs w:val="36"/>
        </w:rPr>
        <w:t>第三节  常态化实施文化惠民工程</w:t>
      </w:r>
      <w:bookmarkEnd w:id="252"/>
      <w:bookmarkEnd w:id="253"/>
    </w:p>
    <w:p>
      <w:pPr>
        <w:overflowPunct w:val="0"/>
        <w:spacing w:line="587" w:lineRule="exact"/>
        <w:ind w:firstLine="624" w:firstLineChars="19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全面实施高品质的文化惠民工程，全力打通文化宣传群众、教育群众、关心群众、服务群众</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最后一公里</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。加强镇村文化阵地建设，高质量完成村（居）综合文化服务中心提档升级和文化惠民任务，充分发挥文化惠民的服务功能。为全县群众提供丰富多彩的文化服务和文艺演出，全面开展</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送戏下乡</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送电影下乡</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等公益性文艺活动。推动全民阅读，倡导终身学习，打造书香郏县。加快推进媒体深度融合，不断创新体制机制，探索建立“新闻+政务服务商务”运营模式，大力实施全媒体传播工程，生动讲述出彩郏县和出彩郏县人故事。</w:t>
      </w:r>
    </w:p>
    <w:p>
      <w:pPr>
        <w:pStyle w:val="43"/>
        <w:spacing w:beforeLines="50" w:afterLines="50" w:line="600" w:lineRule="exact"/>
        <w:rPr>
          <w:b/>
          <w:bCs/>
          <w:color w:val="000000"/>
          <w:sz w:val="36"/>
          <w:szCs w:val="36"/>
        </w:rPr>
      </w:pPr>
      <w:bookmarkStart w:id="254" w:name="_Toc62991808"/>
      <w:bookmarkStart w:id="255" w:name="_Toc7743"/>
      <w:r>
        <w:rPr>
          <w:rFonts w:hint="eastAsia"/>
          <w:b/>
          <w:bCs/>
          <w:color w:val="000000"/>
          <w:sz w:val="36"/>
          <w:szCs w:val="36"/>
        </w:rPr>
        <w:t>第四节  打造高品质公共文化服务产品</w:t>
      </w:r>
      <w:bookmarkEnd w:id="254"/>
      <w:bookmarkEnd w:id="255"/>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数字</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网络</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智慧</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加快构建智能化的公共文化服务产品体系。推进数字文化云平台建设，构建数字公共文化服务网络，实现资源共享。加快图书馆智慧服务提升、特色数字资源建设，形成具有创新性、导向性、带动性、科学性的智慧图书馆服务网络。大力加强县内文体基础设施建设，着力推进文体设施智慧化，持续提升现有文体设施服务品质。加快实施智慧文化服务带动工程，推动公共文体服务全方位、全链条智能化升级，实现全县文体服务的智慧化、数字化和科学化。</w:t>
      </w:r>
    </w:p>
    <w:p>
      <w:pPr>
        <w:pStyle w:val="42"/>
        <w:spacing w:beforeLines="50" w:afterLines="50" w:line="600" w:lineRule="exact"/>
        <w:rPr>
          <w:b w:val="0"/>
          <w:bCs/>
          <w:color w:val="000000"/>
          <w:szCs w:val="32"/>
        </w:rPr>
      </w:pPr>
      <w:bookmarkStart w:id="256" w:name="_Toc62991809"/>
      <w:bookmarkStart w:id="257" w:name="_Toc15734"/>
      <w:r>
        <w:rPr>
          <w:rFonts w:hint="eastAsia"/>
          <w:b w:val="0"/>
          <w:bCs/>
          <w:color w:val="000000"/>
          <w:szCs w:val="32"/>
        </w:rPr>
        <w:t xml:space="preserve">第三章 </w:t>
      </w:r>
      <w:bookmarkStart w:id="258" w:name="_Toc57334129"/>
      <w:r>
        <w:rPr>
          <w:rFonts w:hint="eastAsia"/>
          <w:b w:val="0"/>
          <w:bCs/>
          <w:color w:val="000000"/>
          <w:szCs w:val="32"/>
        </w:rPr>
        <w:t>大力推动文化产业发展</w:t>
      </w:r>
      <w:bookmarkEnd w:id="256"/>
      <w:bookmarkEnd w:id="257"/>
      <w:bookmarkEnd w:id="258"/>
    </w:p>
    <w:p>
      <w:pPr>
        <w:overflowPunct w:val="0"/>
        <w:spacing w:line="600" w:lineRule="exact"/>
        <w:ind w:firstLine="624" w:firstLineChars="195"/>
        <w:rPr>
          <w:rFonts w:ascii="仿宋_GB2312" w:hAnsi="仿宋_GB2312" w:eastAsia="仿宋_GB2312" w:cs="仿宋_GB2312"/>
          <w:color w:val="000000"/>
          <w:sz w:val="32"/>
          <w:szCs w:val="32"/>
        </w:rPr>
      </w:pPr>
      <w:bookmarkStart w:id="259" w:name="_Toc62991810"/>
      <w:r>
        <w:rPr>
          <w:rFonts w:hint="eastAsia" w:ascii="仿宋_GB2312" w:hAnsi="仿宋_GB2312" w:eastAsia="仿宋_GB2312" w:cs="仿宋_GB2312"/>
          <w:color w:val="000000"/>
          <w:sz w:val="32"/>
          <w:szCs w:val="32"/>
        </w:rPr>
        <w:t>坚持政府主导、市场化运作，进一步把文化市场做活，激发市场主体和文化企业的活力，引导和扩大文化消费，构建现代化文化产业体系。</w:t>
      </w:r>
    </w:p>
    <w:p>
      <w:pPr>
        <w:pStyle w:val="43"/>
        <w:spacing w:beforeLines="50" w:afterLines="50" w:line="600" w:lineRule="exact"/>
        <w:rPr>
          <w:b/>
          <w:bCs/>
          <w:color w:val="000000"/>
          <w:sz w:val="36"/>
          <w:szCs w:val="36"/>
        </w:rPr>
      </w:pPr>
      <w:bookmarkStart w:id="260" w:name="_Toc16659"/>
      <w:r>
        <w:rPr>
          <w:rFonts w:hint="eastAsia"/>
          <w:b/>
          <w:bCs/>
          <w:color w:val="000000"/>
          <w:sz w:val="36"/>
          <w:szCs w:val="36"/>
        </w:rPr>
        <w:t>第一节  加快文化资源开发利用</w:t>
      </w:r>
      <w:bookmarkEnd w:id="259"/>
      <w:bookmarkEnd w:id="260"/>
    </w:p>
    <w:p>
      <w:pPr>
        <w:overflowPunct w:val="0"/>
        <w:spacing w:line="600" w:lineRule="exact"/>
        <w:ind w:firstLine="624" w:firstLineChars="19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扩大郏县大铜器、庞庄二簧戏、郭氏毛笔制作技艺、农历二十四节气、孟庄狮舞、神前唐钧烧制技艺等非物质文化遗产的影响力，加快传承民俗文化和民间技艺，申请铁锅铸造技艺等非物质文化遗产，深挖郏县文化内涵。加大地下文物遗产保护，利用郏县博物馆，梳理好、记录好、保护好、传承好和开发好郏县历史文化。</w:t>
      </w:r>
    </w:p>
    <w:p>
      <w:pPr>
        <w:pStyle w:val="43"/>
        <w:spacing w:beforeLines="50" w:afterLines="50"/>
        <w:rPr>
          <w:b/>
          <w:bCs/>
          <w:color w:val="000000"/>
          <w:sz w:val="36"/>
          <w:szCs w:val="36"/>
        </w:rPr>
      </w:pPr>
      <w:bookmarkStart w:id="261" w:name="_Toc62991811"/>
      <w:bookmarkStart w:id="262" w:name="_Toc28838"/>
      <w:r>
        <w:rPr>
          <w:rFonts w:hint="eastAsia"/>
          <w:b/>
          <w:bCs/>
          <w:color w:val="000000"/>
          <w:sz w:val="36"/>
          <w:szCs w:val="36"/>
        </w:rPr>
        <w:t>第二节  积极发展文创产业</w:t>
      </w:r>
      <w:bookmarkEnd w:id="261"/>
      <w:bookmarkEnd w:id="262"/>
    </w:p>
    <w:p>
      <w:pPr>
        <w:pStyle w:val="29"/>
        <w:spacing w:line="580" w:lineRule="exact"/>
        <w:ind w:firstLine="640"/>
        <w:rPr>
          <w:rFonts w:ascii="仿宋_GB2312" w:hAnsi="仿宋_GB2312" w:cs="仿宋_GB2312"/>
          <w:color w:val="000000"/>
          <w:szCs w:val="32"/>
        </w:rPr>
      </w:pPr>
      <w:r>
        <w:rPr>
          <w:rFonts w:hint="eastAsia" w:ascii="仿宋_GB2312" w:hAnsi="仿宋_GB2312" w:cs="仿宋_GB2312"/>
          <w:color w:val="000000"/>
          <w:szCs w:val="32"/>
        </w:rPr>
        <w:t>发挥郏县多元文化的资源富集优势，着力培育一批地方文化与现代文化相协调的文化服务平台，形成层次合理、功能完善、特色鲜明的文化创意产业体系，构建统一开放、公平竞争、规范有序的文化创意产业发展市场体系。引导企业加大对工业设计的投入，重点扶持唐钧、铁锅等从事创意策划、艺术培训、民间艺术和工艺美术创作生产的行业龙头，提升集约化、规模化经营水平。支持电气、装备制造、特色农产品等我县优势产业领域的工业设计产业设立专业化的设计部门，推动从“郏县制造”向“郏县创造”方向发展。加大对节庆会展、广告策划等中小型文化创意类企业的扶持力度。</w:t>
      </w:r>
    </w:p>
    <w:p>
      <w:pPr>
        <w:pStyle w:val="43"/>
        <w:spacing w:beforeLines="50" w:afterLines="50"/>
        <w:rPr>
          <w:b/>
          <w:bCs/>
          <w:color w:val="000000"/>
          <w:sz w:val="36"/>
          <w:szCs w:val="36"/>
        </w:rPr>
      </w:pPr>
      <w:bookmarkStart w:id="263" w:name="_Toc62991812"/>
      <w:bookmarkStart w:id="264" w:name="_Toc22556"/>
      <w:r>
        <w:rPr>
          <w:rFonts w:hint="eastAsia"/>
          <w:b/>
          <w:bCs/>
          <w:color w:val="000000"/>
          <w:sz w:val="36"/>
          <w:szCs w:val="36"/>
        </w:rPr>
        <w:t>第三节  推动文化新业态融合发展</w:t>
      </w:r>
      <w:bookmarkEnd w:id="263"/>
      <w:bookmarkEnd w:id="264"/>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培育基于大数据、云计算、物联网、人工智能等新技术的新型文化业态，发展数字创意、智慧广电、网络视听、数字出版、动漫游戏、绿色印刷等新兴文化产业，推动与相关新兴产业相互融合。推动文化资源数字化，分类采集梳理文化遗产数据，标注郏县历史文化基因，建设文化大数据服务体系，将郏县特色文化元素和标识融入内容创作生产、创意设计以及城乡规划建设、生态文明建设中。深化产业和项目融合，打造一批文旅融合示范企业（或园区），申报一批市级以上的文化产业园区（基地）。</w:t>
      </w:r>
      <w:bookmarkEnd w:id="248"/>
    </w:p>
    <w:tbl>
      <w:tblPr>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2"/>
      </w:tblGrid>
      <w:tr>
        <w:trPr>
          <w:trHeight w:val="516" w:hRule="atLeast"/>
          <w:jc w:val="center"/>
        </w:trPr>
        <w:tc>
          <w:tcPr>
            <w:tcW w:w="8332" w:type="dxa"/>
            <w:vAlign w:val="center"/>
          </w:tcPr>
          <w:p>
            <w:pPr>
              <w:pStyle w:val="3"/>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4"/>
                <w:szCs w:val="24"/>
              </w:rPr>
              <w:t>专栏19：文化领域重点项目</w:t>
            </w:r>
          </w:p>
        </w:tc>
      </w:tr>
      <w:tr>
        <w:trPr>
          <w:trHeight w:val="730" w:hRule="atLeast"/>
          <w:jc w:val="center"/>
        </w:trPr>
        <w:tc>
          <w:tcPr>
            <w:tcW w:w="8332" w:type="dxa"/>
            <w:vAlign w:val="center"/>
          </w:tcPr>
          <w:p>
            <w:pPr>
              <w:spacing w:line="400" w:lineRule="exact"/>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文化传承项目。</w:t>
            </w:r>
            <w:r>
              <w:rPr>
                <w:rFonts w:hint="eastAsia" w:ascii="仿宋_GB2312" w:hAnsi="仿宋_GB2312" w:eastAsia="仿宋_GB2312" w:cs="仿宋_GB2312"/>
                <w:color w:val="000000"/>
                <w:sz w:val="24"/>
              </w:rPr>
              <w:t>郏县历史文化名城创建项目、郏县锣鼓艺术大铜器保护项目、郏县八路军豫西抗日革命根据地旧址保护工程、郏县山陕会馆（山陕庙）保护设施项目、郏县三苏祠和墓文物保护设施项目、郏县文庙基础设施建设项目、郏县知青馆二期建设项目、黄道窑保护项目、历史文化街区项目。</w:t>
            </w:r>
          </w:p>
          <w:p>
            <w:pPr>
              <w:spacing w:line="400" w:lineRule="exact"/>
              <w:ind w:firstLine="48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4"/>
              </w:rPr>
              <w:t>文化设施项目。</w:t>
            </w:r>
            <w:r>
              <w:rPr>
                <w:rFonts w:hint="eastAsia" w:ascii="仿宋_GB2312" w:hAnsi="仿宋_GB2312" w:eastAsia="仿宋_GB2312" w:cs="仿宋_GB2312"/>
                <w:color w:val="000000"/>
                <w:sz w:val="24"/>
              </w:rPr>
              <w:t>乡镇（街道）综合文化站效能提质项目、村级综合性文化服务中心效能提质项目，县图书馆、文化馆、博物馆改造提升。</w:t>
            </w:r>
            <w:bookmarkEnd w:id="234"/>
          </w:p>
        </w:tc>
      </w:tr>
    </w:tbl>
    <w:p>
      <w:pPr>
        <w:pStyle w:val="29"/>
        <w:spacing w:line="580" w:lineRule="exact"/>
        <w:ind w:firstLine="640"/>
        <w:rPr>
          <w:rFonts w:ascii="仿宋_GB2312" w:hAnsi="仿宋_GB2312" w:cs="仿宋_GB2312"/>
          <w:color w:val="000000"/>
          <w:szCs w:val="32"/>
        </w:rPr>
      </w:pPr>
    </w:p>
    <w:p>
      <w:pPr>
        <w:pStyle w:val="41"/>
        <w:spacing w:beforeLines="100" w:afterLines="100" w:line="580" w:lineRule="exact"/>
        <w:rPr>
          <w:rFonts w:hint="eastAsia" w:ascii="方正小标宋_GBK" w:hAnsi="方正小标宋_GBK" w:eastAsia="方正小标宋_GBK" w:cs="方正小标宋_GBK"/>
          <w:b w:val="0"/>
          <w:color w:val="000000"/>
          <w:sz w:val="32"/>
          <w:szCs w:val="32"/>
        </w:rPr>
      </w:pPr>
      <w:bookmarkStart w:id="265" w:name="_Toc62991813"/>
      <w:bookmarkStart w:id="266" w:name="_Toc3803"/>
      <w:r>
        <w:rPr>
          <w:rFonts w:hint="eastAsia" w:ascii="方正小标宋_GBK" w:hAnsi="方正小标宋_GBK" w:eastAsia="方正小标宋_GBK" w:cs="方正小标宋_GBK"/>
          <w:b w:val="0"/>
          <w:color w:val="000000"/>
          <w:sz w:val="32"/>
          <w:szCs w:val="32"/>
        </w:rPr>
        <w:t>第八篇  全面推进生态文明建设，努力建设美丽郏县</w:t>
      </w:r>
      <w:bookmarkEnd w:id="265"/>
      <w:bookmarkEnd w:id="266"/>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牢固树立“绿水青山就是金山银山”的理念，</w:t>
      </w:r>
      <w:r>
        <w:rPr>
          <w:rFonts w:hint="eastAsia" w:ascii="仿宋_GB2312" w:hAnsi="仿宋_GB2312" w:eastAsia="仿宋_GB2312" w:cs="仿宋_GB2312"/>
          <w:color w:val="000000"/>
          <w:sz w:val="32"/>
          <w:szCs w:val="32"/>
        </w:rPr>
        <w:t>坚持“生态立县”战略，</w:t>
      </w:r>
      <w:r>
        <w:rPr>
          <w:rFonts w:ascii="仿宋_GB2312" w:hAnsi="仿宋_GB2312" w:eastAsia="仿宋_GB2312" w:cs="仿宋_GB2312"/>
          <w:color w:val="000000"/>
          <w:sz w:val="32"/>
          <w:szCs w:val="32"/>
        </w:rPr>
        <w:t>以黄河流域生态保护和高质量发展为引领，以实施重大生态工程为抓手，</w:t>
      </w:r>
      <w:r>
        <w:rPr>
          <w:rFonts w:hint="eastAsia" w:ascii="仿宋_GB2312" w:hAnsi="仿宋_GB2312" w:eastAsia="仿宋_GB2312" w:cs="仿宋_GB2312"/>
          <w:color w:val="000000"/>
          <w:sz w:val="32"/>
          <w:szCs w:val="32"/>
        </w:rPr>
        <w:t>落实“三区三线”要求，</w:t>
      </w:r>
      <w:r>
        <w:rPr>
          <w:rFonts w:ascii="仿宋_GB2312" w:hAnsi="仿宋_GB2312" w:eastAsia="仿宋_GB2312" w:cs="仿宋_GB2312"/>
          <w:color w:val="000000"/>
          <w:sz w:val="32"/>
          <w:szCs w:val="32"/>
        </w:rPr>
        <w:t>建设天蓝地绿、山清水秀的美丽</w:t>
      </w:r>
      <w:r>
        <w:rPr>
          <w:rFonts w:hint="eastAsia" w:ascii="仿宋_GB2312" w:hAnsi="仿宋_GB2312" w:eastAsia="仿宋_GB2312" w:cs="仿宋_GB2312"/>
          <w:color w:val="000000"/>
          <w:sz w:val="32"/>
          <w:szCs w:val="32"/>
        </w:rPr>
        <w:t>郏县</w:t>
      </w:r>
      <w:r>
        <w:rPr>
          <w:rFonts w:ascii="仿宋_GB2312" w:hAnsi="仿宋_GB2312" w:eastAsia="仿宋_GB2312" w:cs="仿宋_GB2312"/>
          <w:color w:val="000000"/>
          <w:sz w:val="32"/>
          <w:szCs w:val="32"/>
        </w:rPr>
        <w:t>。</w:t>
      </w:r>
    </w:p>
    <w:p>
      <w:pPr>
        <w:pStyle w:val="42"/>
        <w:spacing w:beforeLines="50" w:afterLines="50"/>
        <w:rPr>
          <w:b w:val="0"/>
          <w:bCs/>
          <w:color w:val="000000"/>
          <w:szCs w:val="32"/>
        </w:rPr>
      </w:pPr>
      <w:bookmarkStart w:id="267" w:name="_Toc62991814"/>
      <w:bookmarkStart w:id="268" w:name="_Toc29743"/>
      <w:r>
        <w:rPr>
          <w:rFonts w:hint="eastAsia"/>
          <w:b w:val="0"/>
          <w:bCs/>
          <w:color w:val="000000"/>
          <w:szCs w:val="32"/>
        </w:rPr>
        <w:t>第一章  构建县域生态建设新格局</w:t>
      </w:r>
      <w:bookmarkEnd w:id="267"/>
      <w:bookmarkEnd w:id="268"/>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落实好“森林郏县”建设五年规划，林木覆盖率大幅度提升，实现绿满郏县，推进绿秀郏县、绿美郏县、绿富郏县取得重大进展，让绿色成为郏县大地的标准色，成为郏县的标志性名片。</w:t>
      </w:r>
    </w:p>
    <w:p>
      <w:pPr>
        <w:pStyle w:val="43"/>
        <w:spacing w:afterLines="50"/>
        <w:rPr>
          <w:rFonts w:ascii="仿宋_GB2312" w:hAnsi="仿宋_GB2312" w:eastAsia="仿宋_GB2312" w:cs="仿宋_GB2312"/>
          <w:b/>
          <w:bCs/>
          <w:color w:val="000000"/>
          <w:sz w:val="36"/>
          <w:szCs w:val="36"/>
        </w:rPr>
      </w:pPr>
      <w:bookmarkStart w:id="269" w:name="_Toc62991815"/>
      <w:bookmarkStart w:id="270" w:name="_Toc29871"/>
      <w:r>
        <w:rPr>
          <w:rFonts w:hint="eastAsia"/>
          <w:b/>
          <w:bCs/>
          <w:color w:val="000000"/>
          <w:sz w:val="36"/>
          <w:szCs w:val="36"/>
        </w:rPr>
        <w:t xml:space="preserve">第一节 </w:t>
      </w:r>
      <w:r>
        <w:rPr>
          <w:b/>
          <w:bCs/>
          <w:color w:val="000000"/>
          <w:sz w:val="36"/>
          <w:szCs w:val="36"/>
        </w:rPr>
        <w:t xml:space="preserve"> 统筹推进</w:t>
      </w:r>
      <w:r>
        <w:rPr>
          <w:rFonts w:hint="eastAsia"/>
          <w:b/>
          <w:bCs/>
          <w:color w:val="000000"/>
          <w:sz w:val="36"/>
          <w:szCs w:val="36"/>
        </w:rPr>
        <w:t>生态系统建设</w:t>
      </w:r>
      <w:bookmarkEnd w:id="269"/>
      <w:bookmarkEnd w:id="270"/>
    </w:p>
    <w:p>
      <w:pPr>
        <w:spacing w:line="580" w:lineRule="exact"/>
        <w:ind w:firstLine="640" w:firstLineChars="200"/>
        <w:rPr>
          <w:color w:val="000000"/>
        </w:rPr>
      </w:pPr>
      <w:r>
        <w:rPr>
          <w:rFonts w:hint="eastAsia" w:ascii="仿宋_GB2312" w:hAnsi="仿宋_GB2312" w:eastAsia="仿宋_GB2312" w:cs="仿宋_GB2312"/>
          <w:color w:val="000000"/>
          <w:sz w:val="32"/>
          <w:szCs w:val="32"/>
        </w:rPr>
        <w:t>以北部山地生态保育区和南部生态保育区为重点，持续推进国土绿化提速、提质、增效。加快建设北汝河生态景观带和沿南水北调生态涵养带，实施生态修复工程。依托城乡路网建设县域交通绿色廊道，依托南水北调工程、北汝河及主要河流建设县域蓝色廊道，增强水土保持、水源涵养和防灾减灾功能，打造“蓝绿纵横”生态网络。实施重要区域生态修复工程，统筹推进平原农区和北部、东南部山区生态功能区、西北部矿山生态修复区、南水北调中线干渠沿线生态走廊和北汝河流域生态体系建设。以</w:t>
      </w:r>
      <w:r>
        <w:rPr>
          <w:rFonts w:ascii="仿宋_GB2312" w:hAnsi="仿宋_GB2312" w:eastAsia="仿宋_GB2312" w:cs="仿宋_GB2312"/>
          <w:color w:val="000000"/>
          <w:sz w:val="32"/>
          <w:szCs w:val="32"/>
        </w:rPr>
        <w:t>茨芭、黄道、冢头、安良、薛店、李口等乡镇为主</w:t>
      </w:r>
      <w:r>
        <w:rPr>
          <w:rFonts w:hint="eastAsia" w:ascii="仿宋_GB2312" w:hAnsi="仿宋_GB2312" w:eastAsia="仿宋_GB2312" w:cs="仿宋_GB2312"/>
          <w:color w:val="000000"/>
          <w:sz w:val="32"/>
          <w:szCs w:val="32"/>
        </w:rPr>
        <w:t>，加大古树名木保护力度。</w:t>
      </w:r>
    </w:p>
    <w:p>
      <w:pPr>
        <w:pStyle w:val="43"/>
        <w:spacing w:beforeLines="50" w:afterLines="50"/>
        <w:rPr>
          <w:b/>
          <w:bCs/>
          <w:color w:val="000000"/>
          <w:sz w:val="36"/>
          <w:szCs w:val="36"/>
        </w:rPr>
      </w:pPr>
      <w:bookmarkStart w:id="271" w:name="_Toc62991816"/>
      <w:bookmarkStart w:id="272" w:name="_Toc14893"/>
      <w:r>
        <w:rPr>
          <w:rFonts w:hint="eastAsia"/>
          <w:b/>
          <w:bCs/>
          <w:color w:val="000000"/>
          <w:sz w:val="36"/>
          <w:szCs w:val="36"/>
        </w:rPr>
        <w:t xml:space="preserve">第二节 </w:t>
      </w:r>
      <w:r>
        <w:rPr>
          <w:b/>
          <w:bCs/>
          <w:color w:val="000000"/>
          <w:sz w:val="36"/>
          <w:szCs w:val="36"/>
        </w:rPr>
        <w:t xml:space="preserve"> 打造</w:t>
      </w:r>
      <w:r>
        <w:rPr>
          <w:rFonts w:hint="eastAsia"/>
          <w:b/>
          <w:bCs/>
          <w:color w:val="000000"/>
          <w:sz w:val="36"/>
          <w:szCs w:val="36"/>
        </w:rPr>
        <w:t>生态水系</w:t>
      </w:r>
      <w:bookmarkEnd w:id="271"/>
      <w:bookmarkEnd w:id="272"/>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引水、储水、分水、用水、治水指导思想，重点抓好调水济郏、水系连通、以水润郏、水域治理，高标准完成城区生态水系建设，打造“水网相通、山水相融、城水相依、人水相亲”的山水田园绿城。建设农村河湖库渠坑塘坝综合整治和水系连通工程，形成“以水绕村、以水活村、以水靓村”的美丽乡村新局面。</w:t>
      </w:r>
    </w:p>
    <w:p>
      <w:pPr>
        <w:pStyle w:val="43"/>
        <w:spacing w:beforeLines="50" w:afterLines="50"/>
        <w:rPr>
          <w:b/>
          <w:bCs/>
          <w:color w:val="000000"/>
          <w:sz w:val="36"/>
          <w:szCs w:val="36"/>
        </w:rPr>
      </w:pPr>
      <w:bookmarkStart w:id="273" w:name="_Toc62991817"/>
      <w:bookmarkStart w:id="274" w:name="_Toc19305"/>
      <w:r>
        <w:rPr>
          <w:b/>
          <w:bCs/>
          <w:color w:val="000000"/>
          <w:sz w:val="36"/>
          <w:szCs w:val="36"/>
        </w:rPr>
        <w:t>第三节</w:t>
      </w:r>
      <w:r>
        <w:rPr>
          <w:rFonts w:hint="eastAsia"/>
          <w:b/>
          <w:bCs/>
          <w:color w:val="000000"/>
          <w:sz w:val="36"/>
          <w:szCs w:val="36"/>
        </w:rPr>
        <w:t xml:space="preserve"> </w:t>
      </w:r>
      <w:r>
        <w:rPr>
          <w:b/>
          <w:bCs/>
          <w:color w:val="000000"/>
          <w:sz w:val="36"/>
          <w:szCs w:val="36"/>
        </w:rPr>
        <w:t xml:space="preserve"> 开展生态创建</w:t>
      </w:r>
      <w:bookmarkEnd w:id="273"/>
      <w:bookmarkEnd w:id="274"/>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以人为本，积极推进生态文明创建示范活动，</w:t>
      </w:r>
      <w:r>
        <w:rPr>
          <w:rFonts w:ascii="仿宋_GB2312" w:hAnsi="仿宋_GB2312" w:eastAsia="仿宋_GB2312" w:cs="仿宋_GB2312"/>
          <w:color w:val="000000"/>
          <w:sz w:val="32"/>
          <w:szCs w:val="32"/>
        </w:rPr>
        <w:t>全力争创</w:t>
      </w:r>
      <w:r>
        <w:rPr>
          <w:rFonts w:hint="eastAsia" w:ascii="仿宋_GB2312" w:hAnsi="仿宋_GB2312" w:eastAsia="仿宋_GB2312" w:cs="仿宋_GB2312"/>
          <w:color w:val="000000"/>
          <w:sz w:val="32"/>
          <w:szCs w:val="32"/>
        </w:rPr>
        <w:t>国家级生态文明建设示范县、全国国土绿化示范县、国家森林城市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中国天然氧吧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城市，</w:t>
      </w:r>
      <w:r>
        <w:rPr>
          <w:rFonts w:hint="eastAsia" w:ascii="仿宋_GB2312" w:hAnsi="仿宋_GB2312" w:eastAsia="仿宋_GB2312" w:cs="仿宋_GB2312"/>
          <w:color w:val="000000"/>
          <w:sz w:val="32"/>
          <w:szCs w:val="32"/>
        </w:rPr>
        <w:t>努力打造美丽郏县品牌。</w:t>
      </w:r>
    </w:p>
    <w:p>
      <w:pPr>
        <w:adjustRightInd w:val="0"/>
        <w:snapToGrid w:val="0"/>
        <w:spacing w:line="360" w:lineRule="auto"/>
        <w:ind w:firstLine="420" w:firstLineChars="200"/>
        <w:rPr>
          <w:color w:val="000000"/>
        </w:rPr>
      </w:pPr>
    </w:p>
    <w:p>
      <w:pPr>
        <w:pStyle w:val="42"/>
        <w:spacing w:beforeLines="50" w:afterLines="50"/>
        <w:rPr>
          <w:b w:val="0"/>
          <w:bCs/>
          <w:color w:val="000000"/>
          <w:szCs w:val="32"/>
        </w:rPr>
      </w:pPr>
      <w:bookmarkStart w:id="275" w:name="_Toc62991818"/>
      <w:bookmarkStart w:id="276" w:name="_Toc3714"/>
      <w:r>
        <w:rPr>
          <w:rFonts w:hint="eastAsia"/>
          <w:b w:val="0"/>
          <w:bCs/>
          <w:color w:val="000000"/>
          <w:szCs w:val="32"/>
        </w:rPr>
        <w:t>第二章  持续改善环境质量</w:t>
      </w:r>
      <w:bookmarkEnd w:id="275"/>
      <w:bookmarkEnd w:id="276"/>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持续推进蓝天碧水净土保卫战，坚持方向不变、力度不减，突出精准治污、科学治污、依法治污，推动生态环境质量持续好转。</w:t>
      </w:r>
    </w:p>
    <w:p>
      <w:pPr>
        <w:pStyle w:val="43"/>
        <w:spacing w:beforeLines="50" w:afterLines="50"/>
        <w:rPr>
          <w:b/>
          <w:bCs/>
          <w:color w:val="000000"/>
          <w:sz w:val="36"/>
          <w:szCs w:val="36"/>
        </w:rPr>
      </w:pPr>
      <w:bookmarkStart w:id="277" w:name="_Toc62991819"/>
      <w:bookmarkStart w:id="278" w:name="_Toc19709"/>
      <w:r>
        <w:rPr>
          <w:rFonts w:hint="eastAsia"/>
          <w:b/>
          <w:bCs/>
          <w:color w:val="000000"/>
          <w:sz w:val="36"/>
          <w:szCs w:val="36"/>
        </w:rPr>
        <w:t xml:space="preserve">第一节 </w:t>
      </w:r>
      <w:r>
        <w:rPr>
          <w:b/>
          <w:bCs/>
          <w:color w:val="000000"/>
          <w:sz w:val="36"/>
          <w:szCs w:val="36"/>
        </w:rPr>
        <w:t xml:space="preserve"> </w:t>
      </w:r>
      <w:r>
        <w:rPr>
          <w:rFonts w:hint="eastAsia"/>
          <w:b/>
          <w:bCs/>
          <w:color w:val="000000"/>
          <w:sz w:val="36"/>
          <w:szCs w:val="36"/>
        </w:rPr>
        <w:t>改善大气环境质量</w:t>
      </w:r>
      <w:bookmarkEnd w:id="277"/>
      <w:bookmarkEnd w:id="278"/>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续深化“三散”、工业炉窑、挥发性有机物污染治理，推进能源结构、运输结构调整优化，全面提升大气环境质量。重点加大对建材行业的污染防治力度，充分利用现有污染源治理腾出的容量空间，实现增产不增污。积极利用“西气东输”南支线和“川气入豫”的天然气资源，同时加大对矿井瓦斯气、煤层气资源的开发利用工作，逐步减少城镇燃煤用量，快速推动城区集中供热；</w:t>
      </w:r>
      <w:r>
        <w:rPr>
          <w:rFonts w:ascii="仿宋_GB2312" w:hAnsi="仿宋_GB2312" w:eastAsia="仿宋_GB2312" w:cs="仿宋_GB2312"/>
          <w:color w:val="000000"/>
          <w:sz w:val="32"/>
          <w:szCs w:val="32"/>
        </w:rPr>
        <w:t>全面淘汰城</w:t>
      </w:r>
      <w:r>
        <w:rPr>
          <w:rFonts w:hint="eastAsia" w:ascii="仿宋_GB2312" w:hAnsi="仿宋_GB2312" w:eastAsia="仿宋_GB2312" w:cs="仿宋_GB2312"/>
          <w:color w:val="000000"/>
          <w:sz w:val="32"/>
          <w:szCs w:val="32"/>
        </w:rPr>
        <w:t>镇</w:t>
      </w:r>
      <w:r>
        <w:rPr>
          <w:rFonts w:ascii="仿宋_GB2312" w:hAnsi="仿宋_GB2312" w:eastAsia="仿宋_GB2312" w:cs="仿宋_GB2312"/>
          <w:color w:val="000000"/>
          <w:sz w:val="32"/>
          <w:szCs w:val="32"/>
        </w:rPr>
        <w:t>小燃煤锅炉，全面推进城乡居民采暖散煤替代</w:t>
      </w:r>
      <w:r>
        <w:rPr>
          <w:rFonts w:hint="eastAsia" w:ascii="仿宋_GB2312" w:hAnsi="仿宋_GB2312" w:eastAsia="仿宋_GB2312" w:cs="仿宋_GB2312"/>
          <w:color w:val="000000"/>
          <w:sz w:val="32"/>
          <w:szCs w:val="32"/>
        </w:rPr>
        <w:t>。持续调整运输结构，加快充电（充气）站（桩）建设，大力推广新能源汽车。</w:t>
      </w:r>
      <w:r>
        <w:rPr>
          <w:rFonts w:ascii="仿宋_GB2312" w:hAnsi="仿宋_GB2312" w:eastAsia="仿宋_GB2312" w:cs="仿宋_GB2312"/>
          <w:color w:val="000000"/>
          <w:sz w:val="32"/>
          <w:szCs w:val="32"/>
        </w:rPr>
        <w:t>到202</w:t>
      </w: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县域PM10、PM2.5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优良天数比例“三项”目标全面达到上级要求，</w:t>
      </w:r>
      <w:r>
        <w:rPr>
          <w:rFonts w:hint="eastAsia" w:ascii="仿宋_GB2312" w:hAnsi="仿宋_GB2312" w:eastAsia="仿宋_GB2312" w:cs="仿宋_GB2312"/>
          <w:color w:val="000000"/>
          <w:sz w:val="32"/>
          <w:szCs w:val="32"/>
        </w:rPr>
        <w:t>基本消除重污染天气</w:t>
      </w:r>
      <w:r>
        <w:rPr>
          <w:rFonts w:ascii="仿宋_GB2312" w:hAnsi="仿宋_GB2312" w:eastAsia="仿宋_GB2312" w:cs="仿宋_GB2312"/>
          <w:color w:val="000000"/>
          <w:sz w:val="32"/>
          <w:szCs w:val="32"/>
        </w:rPr>
        <w:t>。</w:t>
      </w:r>
    </w:p>
    <w:p>
      <w:pPr>
        <w:pStyle w:val="43"/>
        <w:spacing w:beforeLines="50" w:afterLines="50"/>
        <w:rPr>
          <w:b/>
          <w:bCs/>
          <w:color w:val="000000"/>
          <w:sz w:val="36"/>
          <w:szCs w:val="36"/>
        </w:rPr>
      </w:pPr>
      <w:bookmarkStart w:id="279" w:name="_Toc62991820"/>
      <w:bookmarkStart w:id="280" w:name="_Toc30116"/>
      <w:r>
        <w:rPr>
          <w:rFonts w:hint="eastAsia"/>
          <w:b/>
          <w:bCs/>
          <w:color w:val="000000"/>
          <w:sz w:val="36"/>
          <w:szCs w:val="36"/>
        </w:rPr>
        <w:t xml:space="preserve">第二节 </w:t>
      </w:r>
      <w:r>
        <w:rPr>
          <w:b/>
          <w:bCs/>
          <w:color w:val="000000"/>
          <w:sz w:val="36"/>
          <w:szCs w:val="36"/>
        </w:rPr>
        <w:t xml:space="preserve"> </w:t>
      </w:r>
      <w:r>
        <w:rPr>
          <w:rFonts w:hint="eastAsia"/>
          <w:b/>
          <w:bCs/>
          <w:color w:val="000000"/>
          <w:sz w:val="36"/>
          <w:szCs w:val="36"/>
        </w:rPr>
        <w:t>提升水环境质量</w:t>
      </w:r>
      <w:bookmarkEnd w:id="279"/>
      <w:bookmarkEnd w:id="280"/>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四水同治，完善“河长制+检察长”巡河、清河常态化工作机制。加大对煤炭开采和洗选业、农副产品加工业等重点排污企业的治理力度，大力推动矿井排水的资源化利用和煤炭洗选业废水的回用。结合乡镇、中心村建设条件因</w:t>
      </w:r>
      <w:r>
        <w:rPr>
          <w:rFonts w:hint="eastAsia" w:ascii="仿宋_GB2312" w:hAnsi="仿宋_GB2312" w:eastAsia="仿宋_GB2312" w:cs="仿宋_GB2312"/>
          <w:color w:val="000000"/>
          <w:spacing w:val="3"/>
          <w:sz w:val="32"/>
          <w:szCs w:val="32"/>
        </w:rPr>
        <w:t>地制宜实施生活污水处理设施工程，提高城乡生活污水治理水平。严格落实饮用水源地保护条例，加强供水设施和水质监测监管，开展定期监测和调查评估。“十四五”期间，实现县域水环境质量稳步提升，北汝河、青龙湖出境</w:t>
      </w:r>
      <w:r>
        <w:rPr>
          <w:rFonts w:ascii="仿宋_GB2312" w:hAnsi="仿宋_GB2312" w:eastAsia="仿宋_GB2312" w:cs="仿宋_GB2312"/>
          <w:color w:val="000000"/>
          <w:spacing w:val="3"/>
          <w:sz w:val="32"/>
          <w:szCs w:val="32"/>
        </w:rPr>
        <w:t>断面稳定达到</w:t>
      </w:r>
      <w:r>
        <w:rPr>
          <w:rFonts w:hint="eastAsia" w:ascii="仿宋_GB2312" w:hAnsi="仿宋_GB2312" w:eastAsia="仿宋_GB2312" w:cs="仿宋_GB2312"/>
          <w:color w:val="000000"/>
          <w:spacing w:val="3"/>
          <w:sz w:val="32"/>
          <w:szCs w:val="32"/>
        </w:rPr>
        <w:t>Ⅲ</w:t>
      </w:r>
      <w:r>
        <w:rPr>
          <w:rFonts w:ascii="仿宋_GB2312" w:hAnsi="仿宋_GB2312" w:eastAsia="仿宋_GB2312" w:cs="仿宋_GB2312"/>
          <w:color w:val="000000"/>
          <w:spacing w:val="3"/>
          <w:sz w:val="32"/>
          <w:szCs w:val="32"/>
        </w:rPr>
        <w:t>类</w:t>
      </w:r>
      <w:r>
        <w:rPr>
          <w:rFonts w:hint="eastAsia" w:ascii="仿宋_GB2312" w:hAnsi="仿宋_GB2312" w:eastAsia="仿宋_GB2312" w:cs="仿宋_GB2312"/>
          <w:color w:val="000000"/>
          <w:spacing w:val="3"/>
          <w:sz w:val="32"/>
          <w:szCs w:val="32"/>
        </w:rPr>
        <w:t>，城市集中式饮用水水源地水质达标率达到100%，地下水质量考核级别保持稳定，确保完成国家水质考核目标。</w:t>
      </w:r>
    </w:p>
    <w:p>
      <w:pPr>
        <w:pStyle w:val="43"/>
        <w:spacing w:beforeLines="50" w:afterLines="50"/>
        <w:rPr>
          <w:b/>
          <w:bCs/>
          <w:color w:val="000000"/>
          <w:sz w:val="36"/>
          <w:szCs w:val="36"/>
        </w:rPr>
      </w:pPr>
      <w:bookmarkStart w:id="281" w:name="_Toc62991821"/>
      <w:bookmarkStart w:id="282" w:name="_Toc7448"/>
      <w:r>
        <w:rPr>
          <w:rFonts w:hint="eastAsia"/>
          <w:b/>
          <w:bCs/>
          <w:color w:val="000000"/>
          <w:sz w:val="36"/>
          <w:szCs w:val="36"/>
        </w:rPr>
        <w:t xml:space="preserve">第三节 </w:t>
      </w:r>
      <w:r>
        <w:rPr>
          <w:b/>
          <w:bCs/>
          <w:color w:val="000000"/>
          <w:sz w:val="36"/>
          <w:szCs w:val="36"/>
        </w:rPr>
        <w:t xml:space="preserve"> </w:t>
      </w:r>
      <w:r>
        <w:rPr>
          <w:rFonts w:hint="eastAsia"/>
          <w:b/>
          <w:bCs/>
          <w:color w:val="000000"/>
          <w:sz w:val="36"/>
          <w:szCs w:val="36"/>
        </w:rPr>
        <w:t>稳定土壤环境质量</w:t>
      </w:r>
      <w:bookmarkEnd w:id="281"/>
      <w:bookmarkEnd w:id="282"/>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加强土壤环境质量防护，健全土壤环境监测制度，</w:t>
      </w:r>
      <w:r>
        <w:rPr>
          <w:rFonts w:hint="eastAsia" w:ascii="仿宋_GB2312" w:hAnsi="仿宋_GB2312" w:eastAsia="仿宋_GB2312" w:cs="仿宋_GB2312"/>
          <w:color w:val="000000"/>
          <w:sz w:val="32"/>
          <w:szCs w:val="32"/>
        </w:rPr>
        <w:t>每年对土壤环境质量进行监测，针对突发环境事件，及时做好土壤环境事故应急监测。开展清洁田园行动，推动生态化种植，推广节肥节药技术，推进秸杆和畜禽粪污资源化利用。推进农田残留地膜、农药化肥塑料包装等清理整治工作，实现农业投入品包装废弃物回收及无害化处理。建立污染地块名录制度，依规向社会公开污染地块信息，并督促责任主体及时采取风险管控措施。</w:t>
      </w:r>
      <w:r>
        <w:rPr>
          <w:rFonts w:ascii="仿宋_GB2312" w:hAnsi="仿宋_GB2312" w:eastAsia="仿宋_GB2312" w:cs="仿宋_GB2312"/>
          <w:color w:val="000000"/>
          <w:sz w:val="32"/>
          <w:szCs w:val="32"/>
        </w:rPr>
        <w:t>“十四五”期间，土壤污染防治体系建立，土壤环境质量总体保持稳定。</w:t>
      </w:r>
    </w:p>
    <w:p>
      <w:pPr>
        <w:pStyle w:val="43"/>
        <w:spacing w:beforeLines="50" w:afterLines="50" w:line="600" w:lineRule="exact"/>
        <w:rPr>
          <w:b/>
          <w:bCs/>
          <w:color w:val="000000"/>
          <w:sz w:val="36"/>
          <w:szCs w:val="36"/>
        </w:rPr>
      </w:pPr>
      <w:bookmarkStart w:id="283" w:name="_Toc62991822"/>
      <w:bookmarkStart w:id="284" w:name="_Toc6513"/>
      <w:r>
        <w:rPr>
          <w:rFonts w:hint="eastAsia"/>
          <w:b/>
          <w:bCs/>
          <w:color w:val="000000"/>
          <w:sz w:val="36"/>
          <w:szCs w:val="36"/>
        </w:rPr>
        <w:t xml:space="preserve">第四节 </w:t>
      </w:r>
      <w:r>
        <w:rPr>
          <w:b/>
          <w:bCs/>
          <w:color w:val="000000"/>
          <w:sz w:val="36"/>
          <w:szCs w:val="36"/>
        </w:rPr>
        <w:t xml:space="preserve"> </w:t>
      </w:r>
      <w:r>
        <w:rPr>
          <w:rFonts w:hint="eastAsia"/>
          <w:b/>
          <w:bCs/>
          <w:color w:val="000000"/>
          <w:sz w:val="36"/>
          <w:szCs w:val="36"/>
        </w:rPr>
        <w:t>建立完善环境风险防控和治理体系</w:t>
      </w:r>
      <w:bookmarkEnd w:id="283"/>
      <w:bookmarkEnd w:id="284"/>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强化政府主导作用为关键，以深化企业主体作用为根本，以更好动员社会组织和公众参与为支撑，健全环境治理领导责任体系，严格环保目标管理，完善生态文明制度；强化企业环境治理主体责任，严格落实排污许可管理制度，强化排污许可证后监管力度；强化社会监督，发挥各类社会团体作用，提高公民环保素养；加强生态空间管控，制定生态环境准入清单。加强环境风险防控常态化管理，常态化开展环境安全隐患排查整治。</w:t>
      </w:r>
    </w:p>
    <w:p>
      <w:pPr>
        <w:pStyle w:val="42"/>
        <w:spacing w:beforeLines="50" w:afterLines="50"/>
        <w:rPr>
          <w:b w:val="0"/>
          <w:bCs/>
          <w:color w:val="000000"/>
          <w:szCs w:val="32"/>
        </w:rPr>
      </w:pPr>
      <w:bookmarkStart w:id="285" w:name="_Toc1912"/>
      <w:bookmarkStart w:id="286" w:name="_Toc62991823"/>
      <w:r>
        <w:rPr>
          <w:rFonts w:hint="eastAsia"/>
          <w:b w:val="0"/>
          <w:bCs/>
          <w:color w:val="000000"/>
          <w:szCs w:val="32"/>
        </w:rPr>
        <w:t>第三章  强化资源集约节约利用</w:t>
      </w:r>
      <w:bookmarkEnd w:id="285"/>
      <w:bookmarkEnd w:id="286"/>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坚持节约优先，树立节约集约循环利用的资源观，加强全过程资源能源节约管理，建立资源循环利用体系，建设资源节约型社会。</w:t>
      </w:r>
    </w:p>
    <w:p>
      <w:pPr>
        <w:pStyle w:val="43"/>
        <w:spacing w:beforeLines="50" w:afterLines="50"/>
        <w:rPr>
          <w:b/>
          <w:bCs/>
          <w:color w:val="000000"/>
          <w:sz w:val="36"/>
          <w:szCs w:val="36"/>
        </w:rPr>
      </w:pPr>
      <w:bookmarkStart w:id="287" w:name="_Toc62991824"/>
      <w:bookmarkStart w:id="288" w:name="_Toc8863"/>
      <w:r>
        <w:rPr>
          <w:rFonts w:hint="eastAsia"/>
          <w:b/>
          <w:bCs/>
          <w:color w:val="000000"/>
          <w:sz w:val="36"/>
          <w:szCs w:val="36"/>
        </w:rPr>
        <w:t xml:space="preserve">第一节 </w:t>
      </w:r>
      <w:r>
        <w:rPr>
          <w:b/>
          <w:bCs/>
          <w:color w:val="000000"/>
          <w:sz w:val="36"/>
          <w:szCs w:val="36"/>
        </w:rPr>
        <w:t xml:space="preserve"> </w:t>
      </w:r>
      <w:r>
        <w:rPr>
          <w:rFonts w:hint="eastAsia"/>
          <w:b/>
          <w:bCs/>
          <w:color w:val="000000"/>
          <w:sz w:val="36"/>
          <w:szCs w:val="36"/>
        </w:rPr>
        <w:t>合理开发利用水资源</w:t>
      </w:r>
      <w:bookmarkEnd w:id="287"/>
      <w:bookmarkEnd w:id="288"/>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要把水资源作为最大的刚性约束，落实最严格水资源管理制度，坚持以水定城、以水定地、以水定人、以水定产，合理规划人口、城市和产业发展，坚定走绿色、可持续的高质量发展之路。继续开展地下水饮用水源替代研究，地下水开发利用基本实现采补平衡。深入推进全国农业水价综合改革试点工作。加强非常规水资源利用，建立健全节水激励机制，鼓励节水产业发展，推动用水方式实现根本性转变。</w:t>
      </w:r>
    </w:p>
    <w:p>
      <w:pPr>
        <w:pStyle w:val="43"/>
        <w:spacing w:beforeLines="50" w:afterLines="50"/>
        <w:rPr>
          <w:b/>
          <w:bCs/>
          <w:color w:val="000000"/>
          <w:sz w:val="36"/>
          <w:szCs w:val="36"/>
        </w:rPr>
      </w:pPr>
      <w:bookmarkStart w:id="289" w:name="_Toc62991825"/>
      <w:bookmarkStart w:id="290" w:name="_Toc13858"/>
      <w:r>
        <w:rPr>
          <w:rFonts w:hint="eastAsia"/>
          <w:b/>
          <w:bCs/>
          <w:color w:val="000000"/>
          <w:sz w:val="36"/>
          <w:szCs w:val="36"/>
        </w:rPr>
        <w:t xml:space="preserve">第二节 </w:t>
      </w:r>
      <w:r>
        <w:rPr>
          <w:b/>
          <w:bCs/>
          <w:color w:val="000000"/>
          <w:sz w:val="36"/>
          <w:szCs w:val="36"/>
        </w:rPr>
        <w:t xml:space="preserve"> </w:t>
      </w:r>
      <w:r>
        <w:rPr>
          <w:rFonts w:hint="eastAsia"/>
          <w:b/>
          <w:bCs/>
          <w:color w:val="000000"/>
          <w:sz w:val="36"/>
          <w:szCs w:val="36"/>
        </w:rPr>
        <w:t>集约利用土地资源</w:t>
      </w:r>
      <w:bookmarkEnd w:id="289"/>
      <w:bookmarkEnd w:id="290"/>
    </w:p>
    <w:p>
      <w:pPr>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严格保护耕地和基本农田，</w:t>
      </w:r>
      <w:r>
        <w:rPr>
          <w:rFonts w:hint="eastAsia" w:ascii="仿宋_GB2312" w:hAnsi="仿宋_GB2312" w:eastAsia="仿宋_GB2312" w:cs="仿宋_GB2312"/>
          <w:color w:val="000000"/>
          <w:sz w:val="32"/>
          <w:szCs w:val="32"/>
        </w:rPr>
        <w:t>巩固“数量、质量、生态”三位一体保护格局。保障发展用地，激发土地收储新活力，“十四五”期间力争完成8</w:t>
      </w:r>
      <w:r>
        <w:rPr>
          <w:rFonts w:ascii="仿宋_GB2312" w:hAnsi="仿宋_GB2312" w:eastAsia="仿宋_GB2312" w:cs="仿宋_GB2312"/>
          <w:color w:val="000000"/>
          <w:sz w:val="32"/>
          <w:szCs w:val="32"/>
        </w:rPr>
        <w:t>000亩以上的土地储备量</w:t>
      </w:r>
      <w:r>
        <w:rPr>
          <w:rFonts w:hint="eastAsia" w:ascii="仿宋_GB2312" w:hAnsi="仿宋_GB2312" w:eastAsia="仿宋_GB2312" w:cs="仿宋_GB2312"/>
          <w:color w:val="000000"/>
          <w:sz w:val="32"/>
          <w:szCs w:val="32"/>
        </w:rPr>
        <w:t>。用足用好上级部门关于闲置土地处置、集体土地入市等方面的新政策，激发土地收储新活力。落实“框定总量、限定容量、盘活存量、做优增量、提高质量”总体要求，深入开展百园提质增效工作，提高建设用地和工业用地使用效益，构建我县新型土地管理使用基础框架。</w:t>
      </w:r>
    </w:p>
    <w:p>
      <w:pPr>
        <w:pStyle w:val="43"/>
        <w:spacing w:beforeLines="50" w:afterLines="50"/>
        <w:rPr>
          <w:b/>
          <w:bCs/>
          <w:color w:val="000000"/>
          <w:sz w:val="36"/>
          <w:szCs w:val="36"/>
        </w:rPr>
      </w:pPr>
      <w:bookmarkStart w:id="291" w:name="_Toc62991826"/>
      <w:bookmarkStart w:id="292" w:name="_Toc20131"/>
      <w:r>
        <w:rPr>
          <w:rFonts w:hint="eastAsia"/>
          <w:b/>
          <w:bCs/>
          <w:color w:val="000000"/>
          <w:sz w:val="36"/>
          <w:szCs w:val="36"/>
        </w:rPr>
        <w:t xml:space="preserve">第三节 </w:t>
      </w:r>
      <w:r>
        <w:rPr>
          <w:b/>
          <w:bCs/>
          <w:color w:val="000000"/>
          <w:sz w:val="36"/>
          <w:szCs w:val="36"/>
        </w:rPr>
        <w:t xml:space="preserve"> </w:t>
      </w:r>
      <w:r>
        <w:rPr>
          <w:rFonts w:hint="eastAsia"/>
          <w:b/>
          <w:bCs/>
          <w:color w:val="000000"/>
          <w:sz w:val="36"/>
          <w:szCs w:val="36"/>
        </w:rPr>
        <w:t>科学保护开发矿产资源</w:t>
      </w:r>
      <w:bookmarkEnd w:id="291"/>
      <w:bookmarkEnd w:id="292"/>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把“绿水青山就是金山银山”的理念融入矿产资源开发利用管理全过程。实行严格的矿产资源保护和监督管理措施，督促矿山企业按照采矿许可证批准的开采方式、开采矿种及批准的《开发利用方案》开采其矿区范围内的矿产资源，规范开采秩序。落实《平顶山矿山地质环境综合治理规划（2</w:t>
      </w:r>
      <w:r>
        <w:rPr>
          <w:rFonts w:ascii="仿宋_GB2312" w:hAnsi="仿宋_GB2312" w:eastAsia="仿宋_GB2312" w:cs="仿宋_GB2312"/>
          <w:color w:val="000000"/>
          <w:sz w:val="32"/>
          <w:szCs w:val="32"/>
        </w:rPr>
        <w:t>018-2025</w:t>
      </w:r>
      <w:r>
        <w:rPr>
          <w:rFonts w:hint="eastAsia" w:ascii="仿宋_GB2312" w:hAnsi="仿宋_GB2312" w:eastAsia="仿宋_GB2312" w:cs="仿宋_GB2312"/>
          <w:color w:val="000000"/>
          <w:sz w:val="32"/>
          <w:szCs w:val="32"/>
        </w:rPr>
        <w:t>）》部署，督促各矿山企业履行矿山地质环境治理修复责任。以建设绿色矿山为核心，以创建绿色矿业发展示范区为目标，持续加力完善“区内修复、区外补偿”矿山生</w:t>
      </w:r>
      <w:r>
        <w:rPr>
          <w:rFonts w:hint="eastAsia" w:ascii="仿宋_GB2312" w:hAnsi="仿宋_GB2312" w:eastAsia="仿宋_GB2312" w:cs="仿宋_GB2312"/>
          <w:color w:val="000000"/>
          <w:spacing w:val="-6"/>
          <w:sz w:val="32"/>
          <w:szCs w:val="32"/>
        </w:rPr>
        <w:t>态修复模式，推动全县露天矿山和采矿沉陷区综合</w:t>
      </w:r>
      <w:r>
        <w:rPr>
          <w:rFonts w:hint="eastAsia" w:ascii="仿宋_GB2312" w:hAnsi="仿宋_GB2312" w:eastAsia="仿宋_GB2312" w:cs="仿宋_GB2312"/>
          <w:color w:val="000000"/>
          <w:sz w:val="32"/>
          <w:szCs w:val="32"/>
        </w:rPr>
        <w:t>整治、生态修复。</w:t>
      </w:r>
    </w:p>
    <w:p>
      <w:pPr>
        <w:pStyle w:val="43"/>
        <w:spacing w:beforeLines="50" w:afterLines="50" w:line="600" w:lineRule="exact"/>
        <w:rPr>
          <w:b/>
          <w:bCs/>
          <w:color w:val="000000"/>
          <w:sz w:val="36"/>
          <w:szCs w:val="36"/>
        </w:rPr>
      </w:pPr>
      <w:bookmarkStart w:id="293" w:name="_Toc62991827"/>
      <w:bookmarkStart w:id="294" w:name="_Toc17974"/>
      <w:r>
        <w:rPr>
          <w:b/>
          <w:bCs/>
          <w:color w:val="000000"/>
          <w:sz w:val="36"/>
          <w:szCs w:val="36"/>
        </w:rPr>
        <w:t>第四节</w:t>
      </w:r>
      <w:r>
        <w:rPr>
          <w:rFonts w:hint="eastAsia"/>
          <w:b/>
          <w:bCs/>
          <w:color w:val="000000"/>
          <w:sz w:val="36"/>
          <w:szCs w:val="36"/>
        </w:rPr>
        <w:t xml:space="preserve"> </w:t>
      </w:r>
      <w:r>
        <w:rPr>
          <w:b/>
          <w:bCs/>
          <w:color w:val="000000"/>
          <w:sz w:val="36"/>
          <w:szCs w:val="36"/>
        </w:rPr>
        <w:t xml:space="preserve"> 践行绿色发展方式</w:t>
      </w:r>
      <w:bookmarkEnd w:id="293"/>
      <w:bookmarkEnd w:id="294"/>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w:t>
      </w:r>
      <w:r>
        <w:rPr>
          <w:rFonts w:ascii="仿宋_GB2312" w:hAnsi="仿宋_GB2312" w:eastAsia="仿宋_GB2312" w:cs="仿宋_GB2312"/>
          <w:color w:val="000000"/>
          <w:sz w:val="32"/>
          <w:szCs w:val="32"/>
        </w:rPr>
        <w:t>碳达峰</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碳中和新目标，降低</w:t>
      </w:r>
      <w:r>
        <w:rPr>
          <w:rFonts w:hint="eastAsia" w:ascii="仿宋_GB2312" w:hAnsi="仿宋_GB2312" w:eastAsia="仿宋_GB2312" w:cs="仿宋_GB2312"/>
          <w:color w:val="000000"/>
          <w:sz w:val="32"/>
          <w:szCs w:val="32"/>
        </w:rPr>
        <w:t>碳</w:t>
      </w:r>
      <w:r>
        <w:rPr>
          <w:rFonts w:ascii="仿宋_GB2312" w:hAnsi="仿宋_GB2312" w:eastAsia="仿宋_GB2312" w:cs="仿宋_GB2312"/>
          <w:color w:val="000000"/>
          <w:sz w:val="32"/>
          <w:szCs w:val="32"/>
        </w:rPr>
        <w:t>消耗和碳排放</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实现减污降碳协同效应。</w:t>
      </w:r>
      <w:r>
        <w:rPr>
          <w:rFonts w:hint="eastAsia" w:ascii="仿宋_GB2312" w:hAnsi="仿宋_GB2312" w:eastAsia="仿宋_GB2312" w:cs="仿宋_GB2312"/>
          <w:color w:val="000000"/>
          <w:sz w:val="32"/>
          <w:szCs w:val="32"/>
        </w:rPr>
        <w:t>推进重点领域节能减排,继续实施能源消费总量和强度“双控”管理,着力推进结构节能、技术节能、管理节能。以产业集聚区为重点，引导扶持企业强化技术创新和管理，减少生产中能源消耗，增强绿色制造能力，打造绿色低碳循环发展的经济体系。建设节能城市。推进交通、建筑、商业和公共机构等领域节能，多措并举打造节能社会。推广绿色建筑和建材，支持既有建筑节能改造，构建低碳交通运输体系，建设一批节能型商场、绿色低碳宾馆。完善绿色发展保障系统，实施有利于绿色发展和生态环保的价格、财政、投资和土地政策。</w:t>
      </w:r>
    </w:p>
    <w:p>
      <w:pPr>
        <w:spacing w:line="580" w:lineRule="exact"/>
        <w:ind w:firstLine="640" w:firstLineChars="200"/>
        <w:rPr>
          <w:rFonts w:ascii="仿宋_GB2312" w:hAnsi="仿宋_GB2312" w:eastAsia="仿宋_GB2312" w:cs="仿宋_GB2312"/>
          <w:color w:val="000000"/>
          <w:sz w:val="32"/>
          <w:szCs w:val="32"/>
        </w:rPr>
      </w:pPr>
    </w:p>
    <w:tbl>
      <w:tblPr>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2"/>
      </w:tblGrid>
      <w:tr>
        <w:trPr>
          <w:trHeight w:val="516" w:hRule="atLeast"/>
          <w:jc w:val="center"/>
        </w:trPr>
        <w:tc>
          <w:tcPr>
            <w:tcW w:w="8332" w:type="dxa"/>
            <w:vAlign w:val="center"/>
          </w:tcPr>
          <w:p>
            <w:pPr>
              <w:pStyle w:val="3"/>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4"/>
                <w:szCs w:val="24"/>
              </w:rPr>
              <w:t>专栏20：生态文明建设重点任务</w:t>
            </w:r>
          </w:p>
        </w:tc>
      </w:tr>
      <w:tr>
        <w:trPr>
          <w:trHeight w:val="730" w:hRule="atLeast"/>
          <w:jc w:val="center"/>
        </w:trPr>
        <w:tc>
          <w:tcPr>
            <w:tcW w:w="8332" w:type="dxa"/>
            <w:vAlign w:val="center"/>
          </w:tcPr>
          <w:p>
            <w:pPr>
              <w:pStyle w:val="27"/>
              <w:spacing w:line="400" w:lineRule="exact"/>
              <w:ind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国土绿化。</w:t>
            </w:r>
            <w:r>
              <w:rPr>
                <w:rFonts w:hint="eastAsia" w:ascii="仿宋_GB2312" w:hAnsi="仿宋_GB2312" w:eastAsia="仿宋_GB2312" w:cs="仿宋_GB2312"/>
                <w:color w:val="000000"/>
                <w:sz w:val="24"/>
              </w:rPr>
              <w:t>争创全国国土绿化示范县、国家森林城市，以北部山地生态保育区和南部生态保育区为重点，持续推进国土绿化提速、提质、增效。林木覆盖率达到45%。</w:t>
            </w:r>
          </w:p>
          <w:p>
            <w:pPr>
              <w:pStyle w:val="49"/>
              <w:adjustRightInd w:val="0"/>
              <w:snapToGrid w:val="0"/>
              <w:spacing w:line="400" w:lineRule="exact"/>
              <w:ind w:firstLine="482" w:firstLineChars="200"/>
              <w:jc w:val="both"/>
              <w:rPr>
                <w:rFonts w:hint="eastAsia" w:ascii="仿宋_GB2312" w:hAnsi="仿宋_GB2312" w:eastAsia="仿宋_GB2312" w:cs="仿宋_GB2312"/>
                <w:color w:val="000000"/>
                <w:kern w:val="2"/>
              </w:rPr>
            </w:pPr>
            <w:r>
              <w:rPr>
                <w:rFonts w:hint="eastAsia" w:ascii="仿宋_GB2312" w:hAnsi="仿宋_GB2312" w:eastAsia="仿宋_GB2312" w:cs="仿宋_GB2312"/>
                <w:b/>
                <w:color w:val="000000"/>
              </w:rPr>
              <w:t>矿山整治。</w:t>
            </w:r>
            <w:r>
              <w:rPr>
                <w:rFonts w:hint="eastAsia" w:ascii="仿宋_GB2312" w:hAnsi="仿宋_GB2312" w:eastAsia="仿宋_GB2312" w:cs="仿宋_GB2312"/>
                <w:color w:val="000000"/>
                <w:kern w:val="2"/>
              </w:rPr>
              <w:t>完善“区内修复、区外补偿”矿山生态修复模式，按照《平顶山市矿山地质环境综合治理规划（2018-2025）》，加快建设绿色矿山，推进西北部矿山生态修复区生态体系建设。</w:t>
            </w:r>
          </w:p>
          <w:p>
            <w:pPr>
              <w:pStyle w:val="49"/>
              <w:adjustRightInd w:val="0"/>
              <w:snapToGrid w:val="0"/>
              <w:spacing w:line="400" w:lineRule="exact"/>
              <w:ind w:firstLine="482" w:firstLineChars="200"/>
              <w:jc w:val="both"/>
              <w:rPr>
                <w:rFonts w:hint="eastAsia" w:ascii="仿宋_GB2312" w:hAnsi="仿宋_GB2312" w:eastAsia="仿宋_GB2312" w:cs="仿宋_GB2312"/>
                <w:color w:val="000000"/>
              </w:rPr>
            </w:pPr>
            <w:r>
              <w:rPr>
                <w:rFonts w:hint="eastAsia" w:ascii="仿宋_GB2312" w:hAnsi="仿宋_GB2312" w:eastAsia="仿宋_GB2312" w:cs="仿宋_GB2312"/>
                <w:b/>
                <w:bCs/>
                <w:color w:val="000000"/>
                <w:kern w:val="2"/>
              </w:rPr>
              <w:t>水流域治理</w:t>
            </w:r>
            <w:r>
              <w:rPr>
                <w:rFonts w:hint="eastAsia" w:ascii="仿宋_GB2312" w:hAnsi="仿宋_GB2312" w:eastAsia="仿宋_GB2312" w:cs="仿宋_GB2312"/>
                <w:b/>
                <w:bCs/>
                <w:color w:val="000000"/>
                <w:kern w:val="2"/>
                <w:sz w:val="32"/>
                <w:szCs w:val="32"/>
              </w:rPr>
              <w:t>。</w:t>
            </w:r>
            <w:r>
              <w:rPr>
                <w:rFonts w:hint="eastAsia" w:ascii="仿宋_GB2312" w:hAnsi="仿宋_GB2312" w:eastAsia="仿宋_GB2312" w:cs="仿宋_GB2312"/>
                <w:color w:val="000000"/>
              </w:rPr>
              <w:t>打造郏县水系连通及农村水系综合整治试点县，推进农村河湖库渠坑塘坝综合整治和水系连通工程建设。重点实施北汝河河道生态治理工程，县域11条河流清淤疏浚、险工治理工程，全域河道治理坑塘整治水系连通等。</w:t>
            </w:r>
          </w:p>
          <w:p>
            <w:pPr>
              <w:adjustRightInd w:val="0"/>
              <w:snapToGrid w:val="0"/>
              <w:spacing w:line="400" w:lineRule="exact"/>
              <w:ind w:firstLine="482"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大气污染防治：</w:t>
            </w:r>
            <w:r>
              <w:rPr>
                <w:rFonts w:hint="eastAsia" w:ascii="仿宋_GB2312" w:hAnsi="仿宋_GB2312" w:eastAsia="仿宋_GB2312" w:cs="仿宋_GB2312"/>
                <w:color w:val="000000"/>
                <w:kern w:val="0"/>
                <w:sz w:val="24"/>
              </w:rPr>
              <w:t>制定实施建材重点污染物排放行业专项治理方案，强化实施VOCs减排工程。</w:t>
            </w:r>
          </w:p>
          <w:p>
            <w:pPr>
              <w:pStyle w:val="49"/>
              <w:adjustRightInd w:val="0"/>
              <w:snapToGrid w:val="0"/>
              <w:spacing w:line="400" w:lineRule="exact"/>
              <w:ind w:firstLine="482" w:firstLineChars="200"/>
              <w:jc w:val="both"/>
              <w:rPr>
                <w:rFonts w:hint="eastAsia" w:ascii="仿宋_GB2312" w:hAnsi="仿宋_GB2312" w:eastAsia="仿宋_GB2312" w:cs="仿宋_GB2312"/>
                <w:color w:val="000000"/>
              </w:rPr>
            </w:pPr>
            <w:r>
              <w:rPr>
                <w:rFonts w:hint="eastAsia" w:ascii="仿宋_GB2312" w:hAnsi="仿宋_GB2312" w:eastAsia="仿宋_GB2312" w:cs="仿宋_GB2312"/>
                <w:b/>
                <w:bCs/>
                <w:color w:val="000000"/>
              </w:rPr>
              <w:t>污废处理设施项目：</w:t>
            </w:r>
            <w:r>
              <w:rPr>
                <w:rFonts w:hint="eastAsia" w:ascii="仿宋_GB2312" w:hAnsi="仿宋_GB2312" w:eastAsia="仿宋_GB2312" w:cs="仿宋_GB2312"/>
                <w:color w:val="000000"/>
              </w:rPr>
              <w:t>重点实施日转运规模500城区生活垃圾中转设施建设工程、垃圾填埋场封场3万平米环境整治工程、城区生活垃圾分类处置项目。</w:t>
            </w:r>
          </w:p>
          <w:p>
            <w:pPr>
              <w:pStyle w:val="33"/>
              <w:shd w:val="clear" w:color="auto" w:fill="FFFFFF"/>
              <w:adjustRightInd w:val="0"/>
              <w:snapToGrid w:val="0"/>
              <w:spacing w:line="360" w:lineRule="exact"/>
              <w:ind w:firstLine="482" w:firstLineChars="200"/>
              <w:rPr>
                <w:rFonts w:hint="eastAsia" w:ascii="仿宋_GB2312" w:hAnsi="仿宋_GB2312" w:eastAsia="仿宋_GB2312" w:cs="仿宋_GB2312"/>
                <w:color w:val="000000"/>
              </w:rPr>
            </w:pPr>
            <w:r>
              <w:rPr>
                <w:rFonts w:hint="eastAsia" w:ascii="仿宋_GB2312" w:hAnsi="仿宋_GB2312" w:eastAsia="仿宋_GB2312" w:cs="仿宋_GB2312"/>
                <w:b/>
                <w:bCs/>
                <w:color w:val="000000"/>
                <w:kern w:val="2"/>
              </w:rPr>
              <w:t>地热能利用项目</w:t>
            </w:r>
            <w:r>
              <w:rPr>
                <w:rFonts w:hint="eastAsia" w:ascii="仿宋_GB2312" w:hAnsi="仿宋_GB2312" w:eastAsia="仿宋_GB2312" w:cs="仿宋_GB2312"/>
                <w:bCs/>
                <w:color w:val="000000"/>
                <w:kern w:val="2"/>
              </w:rPr>
              <w:t>：以城区、李口镇、堂街镇、姚庄</w:t>
            </w:r>
            <w:r>
              <w:rPr>
                <w:rFonts w:hint="eastAsia" w:ascii="仿宋_GB2312" w:hAnsi="仿宋_GB2312" w:eastAsia="仿宋_GB2312" w:cs="仿宋_GB2312"/>
                <w:bCs/>
                <w:color w:val="000000"/>
                <w:kern w:val="2"/>
                <w:lang w:val="en-US" w:eastAsia="zh-CN"/>
              </w:rPr>
              <w:t>回族</w:t>
            </w:r>
            <w:r>
              <w:rPr>
                <w:rFonts w:hint="eastAsia" w:ascii="仿宋_GB2312" w:hAnsi="仿宋_GB2312" w:eastAsia="仿宋_GB2312" w:cs="仿宋_GB2312"/>
                <w:bCs/>
                <w:color w:val="000000"/>
                <w:kern w:val="2"/>
              </w:rPr>
              <w:t>乡为重点，建设配套设施及供热管网，开发利用中深层地热能。</w:t>
            </w:r>
            <w:bookmarkEnd w:id="85"/>
            <w:bookmarkEnd w:id="86"/>
          </w:p>
        </w:tc>
      </w:tr>
    </w:tbl>
    <w:p>
      <w:pPr>
        <w:pStyle w:val="41"/>
        <w:spacing w:beforeLines="100" w:afterLines="100" w:line="580" w:lineRule="exact"/>
        <w:rPr>
          <w:rFonts w:hint="eastAsia" w:ascii="方正小标宋_GBK" w:hAnsi="方正小标宋_GBK" w:eastAsia="方正小标宋_GBK" w:cs="方正小标宋_GBK"/>
          <w:b w:val="0"/>
          <w:color w:val="000000"/>
          <w:sz w:val="32"/>
          <w:szCs w:val="32"/>
        </w:rPr>
      </w:pPr>
      <w:bookmarkStart w:id="295" w:name="_Toc62991828"/>
      <w:bookmarkStart w:id="296" w:name="_Toc11691"/>
      <w:bookmarkStart w:id="297" w:name="_Toc7676"/>
      <w:bookmarkStart w:id="298" w:name="_Toc7420"/>
      <w:r>
        <w:rPr>
          <w:rFonts w:hint="eastAsia" w:ascii="方正小标宋_GBK" w:hAnsi="方正小标宋_GBK" w:eastAsia="方正小标宋_GBK" w:cs="方正小标宋_GBK"/>
          <w:b w:val="0"/>
          <w:color w:val="000000"/>
          <w:sz w:val="32"/>
          <w:szCs w:val="32"/>
        </w:rPr>
        <w:t>第九篇  持续增进民生福祉，加快推进幸福郏县建设</w:t>
      </w:r>
      <w:bookmarkEnd w:id="295"/>
      <w:bookmarkEnd w:id="296"/>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w:t>
      </w:r>
      <w:r>
        <w:rPr>
          <w:rFonts w:ascii="仿宋_GB2312" w:hAnsi="仿宋_GB2312" w:eastAsia="仿宋_GB2312" w:cs="仿宋_GB2312"/>
          <w:color w:val="000000"/>
          <w:sz w:val="32"/>
          <w:szCs w:val="32"/>
        </w:rPr>
        <w:t>着力解决人民群众最直接、最关心、最现实的利益问题</w:t>
      </w:r>
      <w:r>
        <w:rPr>
          <w:rFonts w:hint="eastAsia" w:ascii="仿宋_GB2312" w:hAnsi="仿宋_GB2312" w:eastAsia="仿宋_GB2312" w:cs="仿宋_GB2312"/>
          <w:color w:val="000000"/>
          <w:sz w:val="32"/>
          <w:szCs w:val="32"/>
        </w:rPr>
        <w:t>为出发点，加快改善民生，完善基本公共服务、创业就业、社会保障、社会治理、扶贫攻坚等体系建设，努力做到保基本、兜底线、促公平、可持续。</w:t>
      </w:r>
    </w:p>
    <w:p>
      <w:pPr>
        <w:pStyle w:val="42"/>
        <w:spacing w:beforeLines="50" w:afterLines="50"/>
        <w:rPr>
          <w:b w:val="0"/>
          <w:bCs/>
          <w:color w:val="000000"/>
          <w:szCs w:val="32"/>
        </w:rPr>
      </w:pPr>
      <w:bookmarkStart w:id="299" w:name="_Toc62991829"/>
      <w:bookmarkStart w:id="300" w:name="_Toc6256"/>
      <w:r>
        <w:rPr>
          <w:rFonts w:hint="eastAsia"/>
          <w:b w:val="0"/>
          <w:bCs/>
          <w:color w:val="000000"/>
          <w:szCs w:val="32"/>
        </w:rPr>
        <w:t xml:space="preserve">第一章 </w:t>
      </w:r>
      <w:r>
        <w:rPr>
          <w:b w:val="0"/>
          <w:bCs/>
          <w:color w:val="000000"/>
          <w:szCs w:val="32"/>
        </w:rPr>
        <w:t xml:space="preserve"> 实现更高质量更充分就业</w:t>
      </w:r>
      <w:bookmarkEnd w:id="299"/>
      <w:bookmarkEnd w:id="300"/>
    </w:p>
    <w:p>
      <w:pPr>
        <w:widowControl/>
        <w:ind w:firstLine="616" w:firstLineChars="200"/>
        <w:rPr>
          <w:rFonts w:ascii="仿宋_GB2312" w:hAnsi="仿宋_GB2312" w:eastAsia="仿宋_GB2312" w:cs="仿宋_GB2312"/>
          <w:color w:val="000000"/>
          <w:spacing w:val="-6"/>
          <w:sz w:val="32"/>
          <w:szCs w:val="32"/>
        </w:rPr>
      </w:pPr>
      <w:bookmarkStart w:id="301" w:name="_Toc62991830"/>
      <w:r>
        <w:rPr>
          <w:rFonts w:hint="eastAsia" w:ascii="仿宋_GB2312" w:hAnsi="仿宋_GB2312" w:eastAsia="仿宋_GB2312" w:cs="仿宋_GB2312"/>
          <w:color w:val="000000"/>
          <w:spacing w:val="-6"/>
          <w:sz w:val="32"/>
          <w:szCs w:val="32"/>
        </w:rPr>
        <w:t>坚持就业优先战略和积极就业政策，全力做好稳就业、保就业，把劳动技能提升作为支撑产业发展和提高就业质量的关键环节，形成更充分更高质量就业的政策体系。</w:t>
      </w:r>
    </w:p>
    <w:p>
      <w:pPr>
        <w:pStyle w:val="43"/>
        <w:spacing w:beforeLines="50" w:afterLines="50"/>
        <w:rPr>
          <w:b/>
          <w:bCs/>
          <w:color w:val="000000"/>
          <w:sz w:val="36"/>
          <w:szCs w:val="36"/>
        </w:rPr>
      </w:pPr>
      <w:bookmarkStart w:id="302" w:name="_Toc4522"/>
      <w:r>
        <w:rPr>
          <w:rFonts w:hint="eastAsia"/>
          <w:b/>
          <w:bCs/>
          <w:color w:val="000000"/>
          <w:sz w:val="36"/>
          <w:szCs w:val="36"/>
        </w:rPr>
        <w:t xml:space="preserve">第一节  </w:t>
      </w:r>
      <w:r>
        <w:rPr>
          <w:b/>
          <w:bCs/>
          <w:color w:val="000000"/>
          <w:sz w:val="36"/>
          <w:szCs w:val="36"/>
        </w:rPr>
        <w:t>千方百计稳定和扩大就业</w:t>
      </w:r>
      <w:bookmarkEnd w:id="301"/>
      <w:bookmarkEnd w:id="302"/>
    </w:p>
    <w:p>
      <w:pPr>
        <w:widowControl/>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坚持经济发展就业导向，扩大就业容量，提升就业质量，促进充分就业，保障劳动者待遇和权益。</w:t>
      </w:r>
      <w:r>
        <w:rPr>
          <w:rFonts w:hint="eastAsia" w:ascii="仿宋_GB2312" w:hAnsi="仿宋_GB2312" w:eastAsia="仿宋_GB2312" w:cs="仿宋_GB2312"/>
          <w:color w:val="000000"/>
          <w:sz w:val="32"/>
          <w:szCs w:val="32"/>
        </w:rPr>
        <w:t>“十四五”期间，新增城镇</w:t>
      </w:r>
      <w:r>
        <w:rPr>
          <w:rFonts w:hint="eastAsia" w:ascii="仿宋_GB2312" w:hAnsi="仿宋_GB2312" w:eastAsia="仿宋_GB2312" w:cs="仿宋_GB2312"/>
          <w:color w:val="000000"/>
          <w:spacing w:val="-6"/>
          <w:sz w:val="32"/>
          <w:szCs w:val="32"/>
        </w:rPr>
        <w:t>就业2.5万人以上，城镇调查失业率控制</w:t>
      </w:r>
      <w:r>
        <w:rPr>
          <w:rFonts w:hint="eastAsia" w:ascii="仿宋_GB2312" w:hAnsi="仿宋_GB2312" w:eastAsia="仿宋_GB2312" w:cs="仿宋_GB2312"/>
          <w:color w:val="000000"/>
          <w:sz w:val="32"/>
          <w:szCs w:val="32"/>
        </w:rPr>
        <w:t>在</w:t>
      </w:r>
      <w:r>
        <w:rPr>
          <w:rFonts w:ascii="仿宋_GB2312" w:hAnsi="仿宋_GB2312" w:eastAsia="仿宋_GB2312" w:cs="仿宋_GB2312"/>
          <w:color w:val="000000"/>
          <w:sz w:val="32"/>
          <w:szCs w:val="32"/>
        </w:rPr>
        <w:t>5.5</w:t>
      </w:r>
      <w:r>
        <w:rPr>
          <w:rFonts w:hint="eastAsia" w:ascii="仿宋_GB2312" w:hAnsi="仿宋_GB2312" w:eastAsia="仿宋_GB2312" w:cs="仿宋_GB2312"/>
          <w:color w:val="000000"/>
          <w:sz w:val="32"/>
          <w:szCs w:val="32"/>
        </w:rPr>
        <w:t>%以内，新增转移农村劳动力1.5万人以上，完成农村劳动力技能培训2万人以上，失业人员再就业培训5000人以上。</w:t>
      </w:r>
    </w:p>
    <w:p>
      <w:pPr>
        <w:pStyle w:val="43"/>
        <w:spacing w:beforeLines="50" w:afterLines="50"/>
        <w:rPr>
          <w:b/>
          <w:bCs/>
          <w:color w:val="000000"/>
          <w:sz w:val="36"/>
          <w:szCs w:val="36"/>
        </w:rPr>
      </w:pPr>
      <w:bookmarkStart w:id="303" w:name="_Toc62991831"/>
      <w:bookmarkStart w:id="304" w:name="_Toc25234"/>
      <w:r>
        <w:rPr>
          <w:rFonts w:hint="eastAsia"/>
          <w:b/>
          <w:bCs/>
          <w:color w:val="000000"/>
          <w:sz w:val="36"/>
          <w:szCs w:val="36"/>
        </w:rPr>
        <w:t xml:space="preserve">第二节  </w:t>
      </w:r>
      <w:r>
        <w:rPr>
          <w:b/>
          <w:bCs/>
          <w:color w:val="000000"/>
          <w:sz w:val="36"/>
          <w:szCs w:val="36"/>
        </w:rPr>
        <w:t>保障重点人群就业</w:t>
      </w:r>
      <w:bookmarkEnd w:id="303"/>
      <w:bookmarkEnd w:id="304"/>
    </w:p>
    <w:p>
      <w:pPr>
        <w:ind w:firstLine="66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扎实做好高校毕业生、农民工、退役军人、就业困难人员等重点群体就业工作，扩大公益性岗位托底安置制度，帮助残疾人、“零就业”家庭成员就业，支持就业困难群体自主创业。加强就业创业帮扶，开展未升学初高中毕业生、农民工、残疾人、失业人员和转岗职工、退役军人免费接受职业培训行动。实施大学生就业促进、创业引领、基层成长等计划，支持大学生到基层和中小企业就业，鼓励职业学校毕业生本地就业，做好大学毕业生档案接收管理工作。摸底排查返乡农民工就业创业意愿，强化政策宣传和就业服务，提升农民工返乡创业基地和就业平台，促进引导农村富余劳动力就地就近转移就业和返乡创业。</w:t>
      </w:r>
    </w:p>
    <w:p>
      <w:pPr>
        <w:pStyle w:val="43"/>
        <w:spacing w:beforeLines="50" w:afterLines="50"/>
        <w:rPr>
          <w:b/>
          <w:bCs/>
          <w:color w:val="000000"/>
          <w:sz w:val="36"/>
          <w:szCs w:val="36"/>
        </w:rPr>
      </w:pPr>
      <w:bookmarkStart w:id="305" w:name="_Toc62991832"/>
      <w:bookmarkStart w:id="306" w:name="_Toc16006"/>
      <w:r>
        <w:rPr>
          <w:rFonts w:hint="eastAsia"/>
          <w:b/>
          <w:bCs/>
          <w:color w:val="000000"/>
          <w:sz w:val="36"/>
          <w:szCs w:val="36"/>
        </w:rPr>
        <w:t xml:space="preserve">第三节  </w:t>
      </w:r>
      <w:r>
        <w:rPr>
          <w:b/>
          <w:bCs/>
          <w:color w:val="000000"/>
          <w:sz w:val="36"/>
          <w:szCs w:val="36"/>
        </w:rPr>
        <w:t>建立健全就业创业服务体系</w:t>
      </w:r>
      <w:bookmarkEnd w:id="305"/>
      <w:bookmarkEnd w:id="306"/>
    </w:p>
    <w:p>
      <w:pPr>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着力实施就业优先政策，全面强化稳就业举措，用足用好减负、稳岗、扩就业支持性政策，健全常态化就业供需对接协调机制，全力确保就业形势稳定。强化全方位公共就业服务，</w:t>
      </w:r>
      <w:r>
        <w:rPr>
          <w:rFonts w:hint="eastAsia" w:ascii="仿宋_GB2312" w:hAnsi="仿宋_GB2312" w:eastAsia="仿宋_GB2312" w:cs="仿宋_GB2312"/>
          <w:color w:val="000000"/>
          <w:sz w:val="32"/>
          <w:szCs w:val="32"/>
        </w:rPr>
        <w:t>建设郏县人力资源市场</w:t>
      </w:r>
      <w:r>
        <w:rPr>
          <w:rFonts w:ascii="仿宋_GB2312" w:hAnsi="仿宋_GB2312" w:eastAsia="仿宋_GB2312" w:cs="仿宋_GB2312"/>
          <w:color w:val="000000"/>
          <w:sz w:val="32"/>
          <w:szCs w:val="32"/>
        </w:rPr>
        <w:t>，常态化开展招聘活动，多渠道促进供需精准对接。加强对灵活就业、新就业形态的支持，促进劳动者自主就业。</w:t>
      </w:r>
      <w:r>
        <w:rPr>
          <w:rFonts w:hint="eastAsia" w:ascii="仿宋_GB2312" w:hAnsi="仿宋_GB2312" w:eastAsia="仿宋_GB2312" w:cs="仿宋_GB2312"/>
          <w:color w:val="000000"/>
          <w:sz w:val="32"/>
          <w:szCs w:val="32"/>
        </w:rPr>
        <w:t>积极</w:t>
      </w:r>
      <w:r>
        <w:rPr>
          <w:rFonts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rPr>
        <w:t>郏县</w:t>
      </w:r>
      <w:r>
        <w:rPr>
          <w:rFonts w:ascii="仿宋_GB2312" w:hAnsi="仿宋_GB2312" w:eastAsia="仿宋_GB2312" w:cs="仿宋_GB2312"/>
          <w:color w:val="000000"/>
          <w:sz w:val="32"/>
          <w:szCs w:val="32"/>
        </w:rPr>
        <w:t>老乡，请您回家”活动。</w:t>
      </w:r>
      <w:r>
        <w:rPr>
          <w:rFonts w:hint="eastAsia" w:ascii="仿宋_GB2312" w:hAnsi="仿宋_GB2312" w:eastAsia="仿宋_GB2312" w:cs="仿宋_GB2312"/>
          <w:color w:val="000000"/>
          <w:sz w:val="32"/>
          <w:szCs w:val="32"/>
        </w:rPr>
        <w:t>探索建立</w:t>
      </w:r>
      <w:r>
        <w:rPr>
          <w:rFonts w:ascii="仿宋_GB2312" w:hAnsi="仿宋_GB2312" w:eastAsia="仿宋_GB2312" w:cs="仿宋_GB2312"/>
          <w:color w:val="000000"/>
          <w:sz w:val="32"/>
          <w:szCs w:val="32"/>
        </w:rPr>
        <w:t>终身职业技能培训制度，实施新生代农民工职业技能提升计划。依法规范劳务派遣用工，促进实现同工同酬。健全就业失业监测长效机制，建立覆盖全县的失业预警监测体系。</w:t>
      </w:r>
    </w:p>
    <w:p>
      <w:pPr>
        <w:pStyle w:val="43"/>
        <w:spacing w:beforeLines="50" w:afterLines="50"/>
        <w:rPr>
          <w:b/>
          <w:bCs/>
          <w:color w:val="000000"/>
          <w:sz w:val="36"/>
          <w:szCs w:val="36"/>
        </w:rPr>
      </w:pPr>
      <w:bookmarkStart w:id="307" w:name="_Toc62991833"/>
      <w:bookmarkStart w:id="308" w:name="_Toc29009"/>
      <w:r>
        <w:rPr>
          <w:rFonts w:hint="eastAsia"/>
          <w:b/>
          <w:bCs/>
          <w:color w:val="000000"/>
          <w:sz w:val="36"/>
          <w:szCs w:val="36"/>
        </w:rPr>
        <w:t xml:space="preserve">第四节  </w:t>
      </w:r>
      <w:r>
        <w:rPr>
          <w:b/>
          <w:bCs/>
          <w:color w:val="000000"/>
          <w:sz w:val="36"/>
          <w:szCs w:val="36"/>
        </w:rPr>
        <w:t>加强就业创业载体建设</w:t>
      </w:r>
      <w:bookmarkEnd w:id="307"/>
      <w:bookmarkEnd w:id="308"/>
    </w:p>
    <w:p>
      <w:pPr>
        <w:pStyle w:val="45"/>
        <w:spacing w:line="620" w:lineRule="exact"/>
        <w:ind w:left="0" w:leftChars="0"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加强创业孵化基地、创业园区等新型创业平台建设，为创业者提供集网络、社交和资源共享于一体的创业空间，促进产业资源、创业资本、技能人才等创业创新要素和各类服务向创业平台聚集。加大力度建设一批公共实训示范基地、青年创业园、返乡农民工创业示范园等平台，完善园区基础设施建设，为创业者提供低成本场地支持、指导服务和政策扶持。</w:t>
      </w:r>
    </w:p>
    <w:tbl>
      <w:tblPr>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2"/>
      </w:tblGrid>
      <w:tr>
        <w:trPr>
          <w:trHeight w:val="516" w:hRule="atLeast"/>
          <w:jc w:val="center"/>
        </w:trPr>
        <w:tc>
          <w:tcPr>
            <w:tcW w:w="8332" w:type="dxa"/>
            <w:vAlign w:val="center"/>
          </w:tcPr>
          <w:p>
            <w:pPr>
              <w:adjustRightInd w:val="0"/>
              <w:snapToGrid w:val="0"/>
              <w:spacing w:line="360" w:lineRule="auto"/>
              <w:ind w:firstLine="482"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4"/>
              </w:rPr>
              <w:t>专栏21：促进就业重点项目</w:t>
            </w:r>
          </w:p>
        </w:tc>
      </w:tr>
      <w:tr>
        <w:trPr>
          <w:trHeight w:val="730" w:hRule="atLeast"/>
          <w:jc w:val="center"/>
        </w:trPr>
        <w:tc>
          <w:tcPr>
            <w:tcW w:w="8332" w:type="dxa"/>
            <w:vAlign w:val="center"/>
          </w:tcPr>
          <w:p>
            <w:pPr>
              <w:pStyle w:val="27"/>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rPr>
              <w:t>重点实施郏县公共实训基地、郏县人力资源市场、郏县返乡创业就业基地项目。</w:t>
            </w:r>
          </w:p>
        </w:tc>
      </w:tr>
    </w:tbl>
    <w:p>
      <w:pPr>
        <w:pStyle w:val="27"/>
        <w:rPr>
          <w:color w:val="000000"/>
        </w:rPr>
      </w:pPr>
    </w:p>
    <w:p>
      <w:pPr>
        <w:pStyle w:val="42"/>
        <w:spacing w:beforeLines="50" w:afterLines="50"/>
        <w:rPr>
          <w:b w:val="0"/>
          <w:bCs/>
          <w:color w:val="000000"/>
          <w:szCs w:val="32"/>
        </w:rPr>
      </w:pPr>
      <w:bookmarkStart w:id="309" w:name="_Toc62991834"/>
      <w:bookmarkStart w:id="310" w:name="_Toc11493"/>
      <w:r>
        <w:rPr>
          <w:rFonts w:hint="eastAsia"/>
          <w:b w:val="0"/>
          <w:bCs/>
          <w:color w:val="000000"/>
          <w:szCs w:val="32"/>
        </w:rPr>
        <w:t xml:space="preserve">第二章  </w:t>
      </w:r>
      <w:bookmarkStart w:id="311" w:name="_Toc23402"/>
      <w:r>
        <w:rPr>
          <w:rFonts w:hint="eastAsia"/>
          <w:b w:val="0"/>
          <w:bCs/>
          <w:color w:val="000000"/>
          <w:szCs w:val="32"/>
        </w:rPr>
        <w:t>建设高质量教育体系</w:t>
      </w:r>
      <w:bookmarkEnd w:id="309"/>
      <w:bookmarkEnd w:id="310"/>
      <w:bookmarkEnd w:id="311"/>
    </w:p>
    <w:p>
      <w:pPr>
        <w:autoSpaceDE w:val="0"/>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全力贯彻党的教育方针，坚持立德树人，加强师德师风建设，努力提高教育教学质量，积极推进教育现代化，办好</w:t>
      </w:r>
      <w:r>
        <w:rPr>
          <w:rFonts w:hint="eastAsia" w:ascii="仿宋_GB2312" w:hAnsi="仿宋_GB2312" w:eastAsia="仿宋_GB2312" w:cs="仿宋_GB2312"/>
          <w:color w:val="000000"/>
          <w:sz w:val="32"/>
          <w:szCs w:val="32"/>
        </w:rPr>
        <w:t>让</w:t>
      </w:r>
      <w:r>
        <w:rPr>
          <w:rFonts w:ascii="仿宋_GB2312" w:hAnsi="仿宋_GB2312" w:eastAsia="仿宋_GB2312" w:cs="仿宋_GB2312"/>
          <w:color w:val="000000"/>
          <w:sz w:val="32"/>
          <w:szCs w:val="32"/>
        </w:rPr>
        <w:t>人民满意教育。</w:t>
      </w:r>
    </w:p>
    <w:p>
      <w:pPr>
        <w:pStyle w:val="43"/>
        <w:spacing w:beforeLines="50" w:afterLines="50"/>
        <w:rPr>
          <w:b/>
          <w:bCs/>
          <w:color w:val="000000"/>
          <w:sz w:val="36"/>
          <w:szCs w:val="36"/>
        </w:rPr>
      </w:pPr>
      <w:bookmarkStart w:id="312" w:name="_Toc62991835"/>
      <w:bookmarkStart w:id="313" w:name="_Toc18046"/>
      <w:r>
        <w:rPr>
          <w:rFonts w:hint="eastAsia"/>
          <w:b/>
          <w:bCs/>
          <w:color w:val="000000"/>
          <w:sz w:val="36"/>
          <w:szCs w:val="36"/>
        </w:rPr>
        <w:t>第一节  高标准普及</w:t>
      </w:r>
      <w:r>
        <w:rPr>
          <w:b/>
          <w:bCs/>
          <w:color w:val="000000"/>
          <w:sz w:val="36"/>
          <w:szCs w:val="36"/>
        </w:rPr>
        <w:t>学前教育</w:t>
      </w:r>
      <w:bookmarkEnd w:id="312"/>
      <w:bookmarkEnd w:id="313"/>
    </w:p>
    <w:p>
      <w:pPr>
        <w:autoSpaceDE w:val="0"/>
        <w:ind w:firstLine="640" w:firstLineChars="200"/>
        <w:rPr>
          <w:rFonts w:ascii="仿宋_GB2312" w:hAnsi="仿宋_GB2312" w:eastAsia="仿宋_GB2312" w:cs="仿宋_GB2312"/>
          <w:color w:val="000000"/>
          <w:sz w:val="32"/>
          <w:szCs w:val="32"/>
        </w:rPr>
      </w:pPr>
      <w:r>
        <w:rPr>
          <w:rFonts w:hint="eastAsia" w:ascii="仿宋_GB2312" w:hAnsi="仿宋" w:eastAsia="仿宋_GB2312"/>
          <w:color w:val="000000"/>
          <w:sz w:val="32"/>
          <w:szCs w:val="32"/>
        </w:rPr>
        <w:t>准确把握适龄儿童入学需求存量和增量、区域分布、学位供需矛盾等情况，推动学前教育扩容增量。优化城乡学前教育资源布局，创新均衡发展机制，推动城乡学前教育一体化发展。逐年提高普惠幼儿园生均公用经费财政拨款标准，逐步实</w:t>
      </w:r>
      <w:r>
        <w:rPr>
          <w:rFonts w:hint="eastAsia" w:ascii="仿宋_GB2312" w:hAnsi="仿宋" w:eastAsia="仿宋_GB2312"/>
          <w:color w:val="000000"/>
          <w:spacing w:val="-6"/>
          <w:sz w:val="32"/>
          <w:szCs w:val="32"/>
        </w:rPr>
        <w:t>现城镇新建小区配套幼儿园同步建设、同</w:t>
      </w:r>
      <w:r>
        <w:rPr>
          <w:rFonts w:hint="eastAsia" w:ascii="仿宋_GB2312" w:hAnsi="仿宋" w:eastAsia="仿宋_GB2312"/>
          <w:color w:val="000000"/>
          <w:sz w:val="32"/>
          <w:szCs w:val="32"/>
        </w:rPr>
        <w:t>步交付使用。</w:t>
      </w:r>
      <w:r>
        <w:rPr>
          <w:rFonts w:hint="eastAsia" w:ascii="仿宋_GB2312" w:hAnsi="仿宋_GB2312" w:eastAsia="仿宋_GB2312" w:cs="仿宋_GB2312"/>
          <w:color w:val="000000"/>
          <w:sz w:val="32"/>
          <w:szCs w:val="32"/>
        </w:rPr>
        <w:t>全面实施第四期“学前教育三年行动计划”，大力发展公办学前教育，鼓励发展普惠性学前教育。加强学前教育队伍力量建设，落实幼儿园教师国培、市培、县培等职业培训。“十四五”期间，积极发展农村学前教育，公办幼儿园学生占比50%以上，普惠性幼儿园占比达到85%以上，顺利通过国家学前教育普及普惠督导评估。</w:t>
      </w:r>
    </w:p>
    <w:p>
      <w:pPr>
        <w:pStyle w:val="43"/>
        <w:spacing w:beforeLines="50" w:afterLines="50"/>
        <w:rPr>
          <w:b/>
          <w:bCs/>
          <w:color w:val="000000"/>
          <w:sz w:val="36"/>
          <w:szCs w:val="36"/>
        </w:rPr>
      </w:pPr>
      <w:bookmarkStart w:id="314" w:name="_Toc62991836"/>
      <w:bookmarkStart w:id="315" w:name="_Toc31786"/>
      <w:r>
        <w:rPr>
          <w:rFonts w:hint="eastAsia"/>
          <w:b/>
          <w:bCs/>
          <w:color w:val="000000"/>
          <w:sz w:val="36"/>
          <w:szCs w:val="36"/>
        </w:rPr>
        <w:t>第二节  大力发展高水平普惠</w:t>
      </w:r>
      <w:r>
        <w:rPr>
          <w:rFonts w:hint="eastAsia"/>
          <w:b/>
          <w:bCs/>
          <w:color w:val="000000"/>
          <w:sz w:val="36"/>
          <w:szCs w:val="36"/>
          <w:lang w:val="en-US" w:eastAsia="zh-CN"/>
        </w:rPr>
        <w:t>及高中</w:t>
      </w:r>
      <w:r>
        <w:rPr>
          <w:rFonts w:hint="eastAsia"/>
          <w:b/>
          <w:bCs/>
          <w:color w:val="000000"/>
          <w:sz w:val="36"/>
          <w:szCs w:val="36"/>
        </w:rPr>
        <w:t>教育</w:t>
      </w:r>
      <w:bookmarkEnd w:id="314"/>
      <w:bookmarkEnd w:id="315"/>
    </w:p>
    <w:p>
      <w:pPr>
        <w:spacing w:line="600" w:lineRule="exact"/>
        <w:ind w:firstLine="640" w:firstLineChars="200"/>
        <w:rPr>
          <w:rFonts w:ascii="仿宋_GB2312" w:hAnsi="仿宋_GB2312" w:eastAsia="仿宋_GB2312" w:cs="仿宋_GB2312"/>
          <w:color w:val="000000"/>
          <w:sz w:val="32"/>
          <w:szCs w:val="32"/>
        </w:rPr>
      </w:pPr>
      <w:bookmarkStart w:id="316" w:name="_Toc62991837"/>
      <w:r>
        <w:rPr>
          <w:rFonts w:hint="eastAsia" w:ascii="仿宋_GB2312" w:hAnsi="仿宋_GB2312" w:eastAsia="仿宋_GB2312" w:cs="仿宋_GB2312"/>
          <w:color w:val="000000"/>
          <w:sz w:val="32"/>
          <w:szCs w:val="32"/>
        </w:rPr>
        <w:t>推进教育大县向教育强县迈进，高标准建好八一中学、崇文中学。启动“教育倍增工程”，新增优质学位2万个，打造一批“鹰城名校”“中原名校”。落实立德树人根本任务，努力建设100所特色教育示范校，争创“全省五育并举示范县”，完成国家义务教育优质均衡县评估认定。高水平发展高中教育，优化新高考背景下的课程管理模式，建立健全高中阶段可持续发展体制机制，积极推进高中教育“多样化、特色化、优质化”发展。力争到2025年，学前教育毛入园率和义务教育小学阶段入学率均</w:t>
      </w:r>
      <w:r>
        <w:rPr>
          <w:rFonts w:ascii="仿宋_GB2312" w:hAnsi="仿宋_GB2312" w:eastAsia="仿宋_GB2312" w:cs="仿宋_GB2312"/>
          <w:color w:val="000000"/>
          <w:sz w:val="32"/>
          <w:szCs w:val="32"/>
        </w:rPr>
        <w:t>达到</w:t>
      </w:r>
      <w:r>
        <w:rPr>
          <w:rFonts w:hint="eastAsia" w:ascii="仿宋_GB2312" w:hAnsi="仿宋_GB2312" w:eastAsia="仿宋_GB2312" w:cs="仿宋_GB2312"/>
          <w:color w:val="000000"/>
          <w:sz w:val="32"/>
          <w:szCs w:val="32"/>
        </w:rPr>
        <w:t>100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初中阶段和高中教育毛入学率分别达到97%和95%以上。</w:t>
      </w:r>
    </w:p>
    <w:p>
      <w:pPr>
        <w:pStyle w:val="43"/>
        <w:spacing w:beforeLines="50" w:afterLines="50" w:line="600" w:lineRule="exact"/>
        <w:rPr>
          <w:b/>
          <w:bCs/>
          <w:color w:val="000000"/>
          <w:sz w:val="36"/>
          <w:szCs w:val="36"/>
        </w:rPr>
      </w:pPr>
      <w:bookmarkStart w:id="317" w:name="_Toc23922"/>
      <w:r>
        <w:rPr>
          <w:rFonts w:hint="eastAsia"/>
          <w:b/>
          <w:bCs/>
          <w:color w:val="000000"/>
          <w:sz w:val="36"/>
          <w:szCs w:val="36"/>
        </w:rPr>
        <w:t xml:space="preserve">第三节  </w:t>
      </w:r>
      <w:r>
        <w:rPr>
          <w:b/>
          <w:bCs/>
          <w:color w:val="000000"/>
          <w:sz w:val="36"/>
          <w:szCs w:val="36"/>
        </w:rPr>
        <w:t>创新发展</w:t>
      </w:r>
      <w:r>
        <w:rPr>
          <w:rFonts w:hint="eastAsia"/>
          <w:b/>
          <w:bCs/>
          <w:color w:val="000000"/>
          <w:sz w:val="36"/>
          <w:szCs w:val="36"/>
        </w:rPr>
        <w:t>现代</w:t>
      </w:r>
      <w:r>
        <w:rPr>
          <w:b/>
          <w:bCs/>
          <w:color w:val="000000"/>
          <w:sz w:val="36"/>
          <w:szCs w:val="36"/>
        </w:rPr>
        <w:t>职业教育</w:t>
      </w:r>
      <w:bookmarkEnd w:id="316"/>
      <w:bookmarkEnd w:id="317"/>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以校企合作为重点，引导郏县科技中专建立产教融合发展机制，合理设置专业，提高办学效率，推进校企精准对接、精准育人</w:t>
      </w:r>
      <w:r>
        <w:rPr>
          <w:rFonts w:ascii="仿宋_GB2312" w:hAnsi="仿宋_GB2312" w:eastAsia="仿宋_GB2312" w:cs="仿宋_GB2312"/>
          <w:color w:val="000000"/>
          <w:sz w:val="32"/>
          <w:szCs w:val="32"/>
        </w:rPr>
        <w:t>。加大人力资本投入，增强职业技术教育适应性，</w:t>
      </w:r>
      <w:r>
        <w:rPr>
          <w:rFonts w:hint="eastAsia" w:ascii="仿宋_GB2312" w:hAnsi="仿宋_GB2312" w:eastAsia="仿宋_GB2312" w:cs="仿宋_GB2312"/>
          <w:color w:val="000000"/>
          <w:sz w:val="32"/>
          <w:szCs w:val="32"/>
        </w:rPr>
        <w:t>推行“双师制”、新型</w:t>
      </w:r>
      <w:r>
        <w:rPr>
          <w:rFonts w:ascii="仿宋_GB2312" w:hAnsi="仿宋_GB2312" w:eastAsia="仿宋_GB2312" w:cs="仿宋_GB2312"/>
          <w:color w:val="000000"/>
          <w:sz w:val="32"/>
          <w:szCs w:val="32"/>
        </w:rPr>
        <w:t>学徒制</w:t>
      </w:r>
      <w:r>
        <w:rPr>
          <w:rFonts w:hint="eastAsia" w:ascii="仿宋_GB2312" w:hAnsi="仿宋_GB2312" w:eastAsia="仿宋_GB2312" w:cs="仿宋_GB2312"/>
          <w:color w:val="000000"/>
          <w:sz w:val="32"/>
          <w:szCs w:val="32"/>
        </w:rPr>
        <w:t>等人才培养模式</w:t>
      </w:r>
      <w:r>
        <w:rPr>
          <w:rFonts w:ascii="仿宋_GB2312" w:hAnsi="仿宋_GB2312" w:eastAsia="仿宋_GB2312" w:cs="仿宋_GB2312"/>
          <w:color w:val="000000"/>
          <w:sz w:val="32"/>
          <w:szCs w:val="32"/>
        </w:rPr>
        <w:t>，大力培养技术技能人才。</w:t>
      </w:r>
      <w:r>
        <w:rPr>
          <w:rFonts w:hint="eastAsia" w:ascii="仿宋_GB2312" w:hAnsi="仿宋_GB2312" w:eastAsia="仿宋_GB2312" w:cs="仿宋_GB2312"/>
          <w:color w:val="000000"/>
          <w:sz w:val="32"/>
          <w:szCs w:val="32"/>
        </w:rPr>
        <w:t>围绕我县主导产业</w:t>
      </w:r>
      <w:r>
        <w:rPr>
          <w:rFonts w:ascii="仿宋_GB2312" w:hAnsi="仿宋_GB2312" w:eastAsia="仿宋_GB2312" w:cs="仿宋_GB2312"/>
          <w:color w:val="000000"/>
          <w:sz w:val="32"/>
          <w:szCs w:val="32"/>
        </w:rPr>
        <w:t>、现代农业、现代服务业等</w:t>
      </w:r>
      <w:r>
        <w:rPr>
          <w:rFonts w:hint="eastAsia" w:ascii="仿宋_GB2312" w:hAnsi="仿宋_GB2312" w:eastAsia="仿宋_GB2312" w:cs="仿宋_GB2312"/>
          <w:color w:val="000000"/>
          <w:sz w:val="32"/>
          <w:szCs w:val="32"/>
        </w:rPr>
        <w:t>领域需求</w:t>
      </w:r>
      <w:r>
        <w:rPr>
          <w:rFonts w:ascii="仿宋_GB2312" w:hAnsi="仿宋_GB2312" w:eastAsia="仿宋_GB2312" w:cs="仿宋_GB2312"/>
          <w:color w:val="000000"/>
          <w:sz w:val="32"/>
          <w:szCs w:val="32"/>
        </w:rPr>
        <w:t>，支持建设若干个职业教育“双师型”教师培养培训基地，提高职业教育服务地方经济和社会发展的能力。</w:t>
      </w:r>
    </w:p>
    <w:p>
      <w:pPr>
        <w:pStyle w:val="43"/>
        <w:spacing w:beforeLines="50" w:afterLines="50" w:line="600" w:lineRule="exact"/>
        <w:rPr>
          <w:b/>
          <w:bCs/>
          <w:color w:val="000000"/>
          <w:sz w:val="36"/>
          <w:szCs w:val="36"/>
        </w:rPr>
      </w:pPr>
      <w:bookmarkStart w:id="318" w:name="_Toc62991838"/>
      <w:bookmarkStart w:id="319" w:name="_Toc21924"/>
      <w:r>
        <w:rPr>
          <w:rFonts w:hint="eastAsia"/>
          <w:b/>
          <w:bCs/>
          <w:color w:val="000000"/>
          <w:sz w:val="36"/>
          <w:szCs w:val="36"/>
        </w:rPr>
        <w:t>第四节  建设素质优良的师资队伍</w:t>
      </w:r>
      <w:bookmarkEnd w:id="318"/>
      <w:bookmarkEnd w:id="319"/>
    </w:p>
    <w:p>
      <w:pPr>
        <w:pStyle w:val="27"/>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夯实师资队伍建设，</w:t>
      </w:r>
      <w:r>
        <w:rPr>
          <w:rFonts w:hint="eastAsia" w:ascii="仿宋_GB2312" w:hAnsi="仿宋_GB2312" w:eastAsia="仿宋_GB2312" w:cs="仿宋_GB2312"/>
          <w:color w:val="000000"/>
          <w:sz w:val="32"/>
          <w:szCs w:val="32"/>
        </w:rPr>
        <w:t>提高中小学教师待遇水平，加大优秀教师招引力度，</w:t>
      </w:r>
      <w:r>
        <w:rPr>
          <w:rFonts w:ascii="仿宋_GB2312" w:hAnsi="仿宋_GB2312" w:eastAsia="仿宋_GB2312" w:cs="仿宋_GB2312"/>
          <w:color w:val="000000"/>
          <w:sz w:val="32"/>
          <w:szCs w:val="32"/>
        </w:rPr>
        <w:t>完善考核评价机制，</w:t>
      </w:r>
      <w:r>
        <w:rPr>
          <w:rFonts w:hint="eastAsia" w:ascii="仿宋_GB2312" w:hAnsi="仿宋_GB2312" w:eastAsia="仿宋_GB2312" w:cs="仿宋_GB2312"/>
          <w:color w:val="000000"/>
          <w:sz w:val="32"/>
          <w:szCs w:val="32"/>
        </w:rPr>
        <w:t>建设高素质教师队伍。</w:t>
      </w:r>
      <w:r>
        <w:rPr>
          <w:rFonts w:ascii="仿宋_GB2312" w:hAnsi="仿宋_GB2312" w:eastAsia="仿宋_GB2312" w:cs="仿宋_GB2312"/>
          <w:color w:val="000000"/>
          <w:sz w:val="32"/>
          <w:szCs w:val="32"/>
        </w:rPr>
        <w:t>通过委托培训等方式，积极选送教师到教育先发地区跟岗学习，加大青年教师教学能力培养力度。依托5G互联网，对接省市教育数据中心，构建</w:t>
      </w:r>
      <w:r>
        <w:rPr>
          <w:rFonts w:hint="eastAsia" w:ascii="仿宋_GB2312" w:hAnsi="仿宋_GB2312" w:eastAsia="仿宋_GB2312" w:cs="仿宋_GB2312"/>
          <w:color w:val="000000"/>
          <w:sz w:val="32"/>
          <w:szCs w:val="32"/>
        </w:rPr>
        <w:t>郏县</w:t>
      </w:r>
      <w:r>
        <w:rPr>
          <w:rFonts w:ascii="仿宋_GB2312" w:hAnsi="仿宋_GB2312" w:eastAsia="仿宋_GB2312" w:cs="仿宋_GB2312"/>
          <w:color w:val="000000"/>
          <w:sz w:val="32"/>
          <w:szCs w:val="32"/>
        </w:rPr>
        <w:t>教育大数据中心，整合优化教育管</w:t>
      </w:r>
      <w:r>
        <w:rPr>
          <w:rFonts w:ascii="仿宋_GB2312" w:hAnsi="仿宋_GB2312" w:eastAsia="仿宋_GB2312" w:cs="仿宋_GB2312"/>
          <w:color w:val="000000"/>
          <w:spacing w:val="-6"/>
          <w:sz w:val="32"/>
          <w:szCs w:val="32"/>
        </w:rPr>
        <w:t>理应用系统，实现教育管理精细化、智能化和教育决策科学化。加强智慧校园建设，加快推进学校信息化基础设施升级改造</w:t>
      </w:r>
      <w:r>
        <w:rPr>
          <w:rFonts w:ascii="仿宋_GB2312" w:hAnsi="仿宋_GB2312" w:eastAsia="仿宋_GB2312" w:cs="仿宋_GB2312"/>
          <w:color w:val="000000"/>
          <w:sz w:val="32"/>
          <w:szCs w:val="32"/>
        </w:rPr>
        <w:t>，创新智慧教学模式，推动线上线下教育深度融合。</w:t>
      </w:r>
    </w:p>
    <w:tbl>
      <w:tblPr>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2"/>
      </w:tblGrid>
      <w:tr>
        <w:trPr>
          <w:trHeight w:val="516" w:hRule="atLeast"/>
          <w:jc w:val="center"/>
        </w:trPr>
        <w:tc>
          <w:tcPr>
            <w:tcW w:w="8332" w:type="dxa"/>
            <w:vAlign w:val="center"/>
          </w:tcPr>
          <w:p>
            <w:pPr>
              <w:adjustRightInd w:val="0"/>
              <w:snapToGrid w:val="0"/>
              <w:spacing w:line="240" w:lineRule="exact"/>
              <w:ind w:firstLine="482"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4"/>
              </w:rPr>
              <w:t>专栏22：教育重点项目</w:t>
            </w:r>
          </w:p>
        </w:tc>
      </w:tr>
      <w:tr>
        <w:trPr>
          <w:trHeight w:val="730" w:hRule="atLeast"/>
          <w:jc w:val="center"/>
        </w:trPr>
        <w:tc>
          <w:tcPr>
            <w:tcW w:w="8332" w:type="dxa"/>
            <w:vAlign w:val="center"/>
          </w:tcPr>
          <w:p>
            <w:pPr>
              <w:widowControl/>
              <w:spacing w:line="400" w:lineRule="exact"/>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学前教育：</w:t>
            </w:r>
            <w:r>
              <w:rPr>
                <w:rFonts w:hint="eastAsia" w:ascii="仿宋_GB2312" w:hAnsi="仿宋_GB2312" w:eastAsia="仿宋_GB2312" w:cs="仿宋_GB2312"/>
                <w:color w:val="000000"/>
                <w:sz w:val="24"/>
              </w:rPr>
              <w:t>郏县实验幼儿园综合教学楼，郏县学前教育扩容项目，农村闲置校舍改扩建附属幼儿园项目，城镇新建小区配套幼儿园建设项目。</w:t>
            </w:r>
          </w:p>
          <w:p>
            <w:pPr>
              <w:spacing w:line="400" w:lineRule="exact"/>
              <w:ind w:firstLine="482" w:firstLineChars="200"/>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义务教育：</w:t>
            </w:r>
            <w:r>
              <w:rPr>
                <w:rFonts w:hint="eastAsia" w:ascii="仿宋_GB2312" w:hAnsi="仿宋_GB2312" w:eastAsia="仿宋_GB2312" w:cs="仿宋_GB2312"/>
                <w:color w:val="000000"/>
                <w:sz w:val="24"/>
              </w:rPr>
              <w:t>八一中学、崇文中学建设项目，义务教育农村薄弱学校提升工程，中小学集中改厕项目，二期教育倍增工程。</w:t>
            </w:r>
          </w:p>
          <w:p>
            <w:pPr>
              <w:widowControl/>
              <w:spacing w:line="400" w:lineRule="exact"/>
              <w:ind w:firstLine="482" w:firstLineChars="200"/>
              <w:rPr>
                <w:rFonts w:hint="eastAsia" w:ascii="仿宋_GB2312" w:hAnsi="仿宋_GB2312" w:eastAsia="仿宋_GB2312" w:cs="仿宋_GB2312"/>
                <w:bCs/>
                <w:color w:val="000000"/>
                <w:kern w:val="0"/>
                <w:sz w:val="24"/>
                <w:lang w:eastAsia="zh-CN"/>
              </w:rPr>
            </w:pPr>
            <w:r>
              <w:rPr>
                <w:rFonts w:hint="eastAsia" w:ascii="仿宋_GB2312" w:hAnsi="仿宋_GB2312" w:eastAsia="仿宋_GB2312" w:cs="仿宋_GB2312"/>
                <w:b/>
                <w:color w:val="000000"/>
                <w:kern w:val="0"/>
                <w:sz w:val="24"/>
              </w:rPr>
              <w:t>高中教育。</w:t>
            </w:r>
            <w:r>
              <w:rPr>
                <w:rFonts w:hint="eastAsia" w:ascii="仿宋_GB2312" w:hAnsi="仿宋_GB2312" w:eastAsia="仿宋_GB2312" w:cs="仿宋_GB2312"/>
                <w:bCs/>
                <w:color w:val="000000"/>
                <w:kern w:val="0"/>
                <w:sz w:val="24"/>
              </w:rPr>
              <w:t>郏县第一高级中学综合楼及基础设施建设项目、郏县第二高级中学综合楼及基础设施建设、郏县第二高级中学科技实验图书馆项目、郏县融通高中宿舍楼、郏县融通实验高级中学学生宿舍楼</w:t>
            </w:r>
            <w:r>
              <w:rPr>
                <w:rFonts w:hint="eastAsia" w:ascii="仿宋_GB2312" w:hAnsi="仿宋_GB2312" w:eastAsia="仿宋_GB2312" w:cs="仿宋_GB2312"/>
                <w:bCs/>
                <w:color w:val="000000"/>
                <w:kern w:val="0"/>
                <w:sz w:val="24"/>
                <w:lang w:eastAsia="zh-CN"/>
              </w:rPr>
              <w:t>。</w:t>
            </w:r>
          </w:p>
          <w:p>
            <w:pPr>
              <w:widowControl/>
              <w:spacing w:line="400" w:lineRule="exact"/>
              <w:ind w:firstLine="482" w:firstLineChars="200"/>
              <w:rPr>
                <w:rFonts w:hint="eastAsia"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职业教育。</w:t>
            </w:r>
            <w:r>
              <w:rPr>
                <w:rFonts w:hint="eastAsia" w:ascii="仿宋_GB2312" w:hAnsi="仿宋_GB2312" w:eastAsia="仿宋_GB2312" w:cs="仿宋_GB2312"/>
                <w:bCs/>
                <w:color w:val="000000"/>
                <w:kern w:val="0"/>
                <w:sz w:val="24"/>
              </w:rPr>
              <w:t>郏县科技中等专业学校建设项目、郏县科技中等专业学校产教融合实训楼、郏县卫生学校改建项目。</w:t>
            </w:r>
          </w:p>
        </w:tc>
      </w:tr>
    </w:tbl>
    <w:p>
      <w:pPr>
        <w:pStyle w:val="42"/>
        <w:spacing w:beforeLines="50" w:afterLines="50" w:line="600" w:lineRule="exact"/>
        <w:rPr>
          <w:b w:val="0"/>
          <w:bCs/>
          <w:color w:val="000000"/>
          <w:szCs w:val="32"/>
        </w:rPr>
      </w:pPr>
      <w:bookmarkStart w:id="320" w:name="_Toc62991839"/>
      <w:bookmarkStart w:id="321" w:name="_Toc28698"/>
      <w:r>
        <w:rPr>
          <w:rFonts w:hint="eastAsia"/>
          <w:b w:val="0"/>
          <w:bCs/>
          <w:color w:val="000000"/>
          <w:szCs w:val="32"/>
        </w:rPr>
        <w:t>第三章  全面</w:t>
      </w:r>
      <w:r>
        <w:rPr>
          <w:rFonts w:hint="eastAsia"/>
          <w:b w:val="0"/>
          <w:bCs/>
          <w:color w:val="000000"/>
          <w:szCs w:val="32"/>
          <w:lang w:val="en-US" w:eastAsia="zh-CN"/>
        </w:rPr>
        <w:t>推进</w:t>
      </w:r>
      <w:r>
        <w:rPr>
          <w:rFonts w:hint="eastAsia"/>
          <w:b w:val="0"/>
          <w:bCs/>
          <w:color w:val="000000"/>
          <w:szCs w:val="32"/>
        </w:rPr>
        <w:t>健康郏县</w:t>
      </w:r>
      <w:bookmarkEnd w:id="320"/>
      <w:r>
        <w:rPr>
          <w:rFonts w:hint="eastAsia"/>
          <w:b w:val="0"/>
          <w:bCs/>
          <w:color w:val="000000"/>
          <w:szCs w:val="32"/>
        </w:rPr>
        <w:t>建设</w:t>
      </w:r>
      <w:bookmarkEnd w:id="321"/>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把保障人民健康放在优先发展的战略位置，坚持大卫生大健康理念，深入实施健康郏县行动，为人民提供全方位全周期健康服务。到2025年，每千人床位数、医师数分别达到6.5张、2.6人。</w:t>
      </w:r>
    </w:p>
    <w:p>
      <w:pPr>
        <w:pStyle w:val="43"/>
        <w:spacing w:beforeLines="50" w:afterLines="50" w:line="600" w:lineRule="exact"/>
        <w:rPr>
          <w:b/>
          <w:bCs/>
          <w:color w:val="000000"/>
          <w:sz w:val="36"/>
          <w:szCs w:val="36"/>
        </w:rPr>
      </w:pPr>
      <w:bookmarkStart w:id="322" w:name="_Toc62991840"/>
      <w:bookmarkStart w:id="323" w:name="_Toc20998"/>
      <w:r>
        <w:rPr>
          <w:rFonts w:hint="eastAsia"/>
          <w:b/>
          <w:bCs/>
          <w:color w:val="000000"/>
          <w:sz w:val="36"/>
          <w:szCs w:val="36"/>
        </w:rPr>
        <w:t>第一节  加强疾病预防控制</w:t>
      </w:r>
      <w:bookmarkEnd w:id="322"/>
      <w:bookmarkEnd w:id="323"/>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续抓好疫情常态化防控，创新医防协同机制。完善重大传染病防控体系和突发公共卫生事件监测预警处置机制，健全医疗救治、科技支撑、物资保障体系，提高应对突发公共卫生事件能力。提升健康教育、慢病管理和残疾康复服务质量，重视精神卫生和心理健康，实现全人群、全生命周期健康管理。“十四五”期间，实现郏县疾病防治防控能力显著提升。</w:t>
      </w:r>
    </w:p>
    <w:p>
      <w:pPr>
        <w:pStyle w:val="43"/>
        <w:spacing w:beforeLines="50" w:afterLines="50" w:line="600" w:lineRule="exact"/>
        <w:rPr>
          <w:b/>
          <w:bCs/>
          <w:color w:val="000000"/>
          <w:sz w:val="36"/>
          <w:szCs w:val="36"/>
        </w:rPr>
      </w:pPr>
      <w:bookmarkStart w:id="324" w:name="_Toc62991841"/>
      <w:bookmarkStart w:id="325" w:name="_Toc10507"/>
      <w:r>
        <w:rPr>
          <w:rFonts w:hint="eastAsia"/>
          <w:b/>
          <w:bCs/>
          <w:color w:val="000000"/>
          <w:sz w:val="36"/>
          <w:szCs w:val="36"/>
        </w:rPr>
        <w:t>第二节  提升公共卫生服务水平</w:t>
      </w:r>
      <w:bookmarkEnd w:id="324"/>
      <w:bookmarkEnd w:id="325"/>
    </w:p>
    <w:p>
      <w:pPr>
        <w:pStyle w:val="27"/>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充分发挥全国医改试点县、健康促进县的优势，完善基本公共卫生服务，建设覆盖城乡的公共卫生服务体系，不断提高县域公共卫生保障能力。加快推进郏县人民医院新址异地建设、郏县妇幼健康服务中心建设和郏县中医院二期工程等项目，加快构建以公立医院为核心，以社区卫生服务中心为节点，以村（社区）卫生室为基础的分级诊疗体系。进一步推进公立医院综合医改，加强县医疗健康集团建设，探索推广“3221”模式，实现专家资源和医疗设备双下沉，有效促进资源整合和再利用。全面推进城乡医疗卫生基础设施建设，统筹全县医疗资源，规划村（社区）15分钟就医圈，实现标准化村卫生室集体制建设全覆盖。全面推进健康郏县建设，把健康促进融入文明乡村建设。持续推进公共卫生体系建设，改革完善疾病预防控制体系。进一步推进公立医院综合改革，高质量推进紧密型县域医共体建设。持续做好“一老一小”照护服务和妇幼健康工作。持续加强卫生人才培养，落实基层医务人员薪酬待遇。围绕郏县人口老龄化和康养产业发展，加大中医药就业人才教育和培养基地建设，推广传播中医药适宜技术，助力养老从业人员技能培训，促进中医药推广与养老产业相结合，提升人均预期寿命。加快医疗卫生信息化进程，实施“互联网＋医疗健康”行动计划，推动医疗机构互联互通、高效运转。到2025年，医疗卫生健康服务的可及性、服务质量、服务效率和群众满意度显著提高，个人就医费用负担明显减轻，城乡人群健康状况差异不断缩小，全体城乡居民病有所医、病有良医。</w:t>
      </w:r>
    </w:p>
    <w:p>
      <w:pPr>
        <w:pStyle w:val="43"/>
        <w:spacing w:beforeLines="50" w:afterLines="50" w:line="600" w:lineRule="exact"/>
        <w:rPr>
          <w:b/>
          <w:bCs/>
          <w:color w:val="000000"/>
          <w:sz w:val="36"/>
          <w:szCs w:val="36"/>
        </w:rPr>
      </w:pPr>
      <w:bookmarkStart w:id="326" w:name="_Toc62991842"/>
      <w:bookmarkStart w:id="327" w:name="_Toc15246"/>
      <w:r>
        <w:rPr>
          <w:rFonts w:hint="eastAsia"/>
          <w:b/>
          <w:bCs/>
          <w:color w:val="000000"/>
          <w:sz w:val="36"/>
          <w:szCs w:val="36"/>
        </w:rPr>
        <w:t>第三节  普及全民健康生活</w:t>
      </w:r>
      <w:bookmarkEnd w:id="326"/>
      <w:bookmarkEnd w:id="327"/>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托百城提质工程和城市生态系统建设，充分利用城市空闲土地、公益性建设用地，以租赁方式供地、复合利用土地等多种用地渠道，推进建设中心城区社区篮球场、足球场、羽毛球场等小型、便民、利民健身场地，规划建设体育公园、体育场、体育馆，完善中心城区“15分钟健身圈”。引进体育专业人才，深化体教融合，完善全民健身公共服务体系。实施学生体魄强健工程，广泛开展课余体育锻炼，保证中小学生每天1小时校园体育活动。结合美丽乡村建设，加快普及农村体育设施，重点建设100个乡村休闲广场。重视社会化足球场建设，发展校园足球，办好足球特色学校。到2025年，确保城区“五个一”、乡镇“三个一”公共体育设施拥有率100%。</w:t>
      </w:r>
    </w:p>
    <w:tbl>
      <w:tblPr>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2"/>
      </w:tblGrid>
      <w:tr>
        <w:trPr>
          <w:trHeight w:val="516" w:hRule="atLeast"/>
          <w:jc w:val="center"/>
        </w:trPr>
        <w:tc>
          <w:tcPr>
            <w:tcW w:w="8332" w:type="dxa"/>
            <w:vAlign w:val="center"/>
          </w:tcPr>
          <w:p>
            <w:pPr>
              <w:adjustRightInd w:val="0"/>
              <w:snapToGrid w:val="0"/>
              <w:spacing w:line="400" w:lineRule="exact"/>
              <w:ind w:firstLine="482"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4"/>
              </w:rPr>
              <w:t>专栏23：健康郏县重点项目</w:t>
            </w:r>
          </w:p>
        </w:tc>
      </w:tr>
      <w:tr>
        <w:trPr>
          <w:trHeight w:val="3064" w:hRule="atLeast"/>
          <w:jc w:val="center"/>
        </w:trPr>
        <w:tc>
          <w:tcPr>
            <w:tcW w:w="8332" w:type="dxa"/>
            <w:vAlign w:val="center"/>
          </w:tcPr>
          <w:p>
            <w:pPr>
              <w:widowControl/>
              <w:spacing w:line="400" w:lineRule="exact"/>
              <w:ind w:firstLine="482" w:firstLineChars="200"/>
              <w:rPr>
                <w:rFonts w:hint="eastAsia"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lang w:val="en-US" w:eastAsia="zh-CN"/>
              </w:rPr>
              <w:t>基层</w:t>
            </w:r>
            <w:r>
              <w:rPr>
                <w:rFonts w:hint="eastAsia" w:ascii="仿宋_GB2312" w:hAnsi="仿宋_GB2312" w:eastAsia="仿宋_GB2312" w:cs="仿宋_GB2312"/>
                <w:b/>
                <w:color w:val="000000"/>
                <w:kern w:val="0"/>
                <w:sz w:val="24"/>
              </w:rPr>
              <w:t>卫生设施。</w:t>
            </w:r>
            <w:r>
              <w:rPr>
                <w:rFonts w:hint="eastAsia" w:ascii="仿宋_GB2312" w:hAnsi="仿宋_GB2312" w:eastAsia="仿宋_GB2312" w:cs="仿宋_GB2312"/>
                <w:bCs/>
                <w:color w:val="000000"/>
                <w:kern w:val="0"/>
                <w:sz w:val="24"/>
              </w:rPr>
              <w:t>郏县乡镇卫生院建设项目、郏县标准化村卫生室建设项目、郏县东城街道社区卫生服务中心门诊病房综合楼项目。</w:t>
            </w:r>
          </w:p>
          <w:p>
            <w:pPr>
              <w:widowControl/>
              <w:spacing w:line="400" w:lineRule="exact"/>
              <w:ind w:firstLine="482" w:firstLineChars="200"/>
              <w:rPr>
                <w:rFonts w:hint="eastAsia"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县级卫生设施。</w:t>
            </w:r>
            <w:r>
              <w:rPr>
                <w:rFonts w:hint="eastAsia" w:ascii="仿宋_GB2312" w:hAnsi="仿宋_GB2312" w:eastAsia="仿宋_GB2312" w:cs="仿宋_GB2312"/>
                <w:bCs/>
                <w:color w:val="000000"/>
                <w:kern w:val="0"/>
                <w:sz w:val="24"/>
              </w:rPr>
              <w:t>郏县妇幼健康服务中心项目、郏县中医院二期工程项目、郏县疾控中心业务用房建设及配套设施项目、郏县人民医院传染性病房扩建项目、郏县精神病院、郏县疾控信息化建设项目、郏县疾控应急能力提升项目。</w:t>
            </w:r>
          </w:p>
          <w:p>
            <w:pPr>
              <w:widowControl/>
              <w:spacing w:line="400" w:lineRule="exact"/>
              <w:ind w:firstLine="482" w:firstLineChars="200"/>
              <w:rPr>
                <w:rFonts w:hint="eastAsia"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体育设施。</w:t>
            </w:r>
            <w:r>
              <w:rPr>
                <w:rFonts w:hint="eastAsia" w:ascii="仿宋_GB2312" w:hAnsi="仿宋_GB2312" w:eastAsia="仿宋_GB2312" w:cs="仿宋_GB2312"/>
                <w:bCs/>
                <w:color w:val="000000"/>
                <w:sz w:val="24"/>
              </w:rPr>
              <w:t>建成郏县全民健身中心项目、老年活动中心、青少年训练馆。完善社会足球场项目。规划建设骑道、步道、登山道。</w:t>
            </w:r>
          </w:p>
        </w:tc>
      </w:tr>
    </w:tbl>
    <w:p>
      <w:pPr>
        <w:pStyle w:val="42"/>
        <w:spacing w:beforeLines="50" w:afterLines="50"/>
        <w:rPr>
          <w:b w:val="0"/>
          <w:bCs/>
          <w:color w:val="000000"/>
          <w:szCs w:val="32"/>
        </w:rPr>
      </w:pPr>
      <w:bookmarkStart w:id="328" w:name="_Toc62991843"/>
      <w:bookmarkStart w:id="329" w:name="_Toc21381"/>
      <w:r>
        <w:rPr>
          <w:rFonts w:hint="eastAsia"/>
          <w:b w:val="0"/>
          <w:bCs/>
          <w:color w:val="000000"/>
          <w:szCs w:val="32"/>
        </w:rPr>
        <w:t>第四章  健全多层次社会保障体系</w:t>
      </w:r>
      <w:bookmarkEnd w:id="328"/>
      <w:bookmarkEnd w:id="329"/>
    </w:p>
    <w:p>
      <w:pPr>
        <w:pStyle w:val="27"/>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rPr>
        <w:t>覆盖全民、统筹城乡、公平统一、可持续</w:t>
      </w:r>
      <w:r>
        <w:rPr>
          <w:rFonts w:ascii="仿宋_GB2312" w:hAnsi="仿宋_GB2312" w:eastAsia="仿宋_GB2312" w:cs="仿宋_GB2312"/>
          <w:color w:val="000000"/>
          <w:sz w:val="32"/>
          <w:szCs w:val="32"/>
        </w:rPr>
        <w:t>”的方针，加快完善覆盖城乡、保障更好的</w:t>
      </w:r>
      <w:r>
        <w:rPr>
          <w:rFonts w:hint="eastAsia" w:ascii="仿宋_GB2312" w:hAnsi="仿宋_GB2312" w:eastAsia="仿宋_GB2312" w:cs="仿宋_GB2312"/>
          <w:color w:val="000000"/>
          <w:sz w:val="32"/>
          <w:szCs w:val="32"/>
        </w:rPr>
        <w:t>多层次</w:t>
      </w:r>
      <w:r>
        <w:rPr>
          <w:rFonts w:ascii="仿宋_GB2312" w:hAnsi="仿宋_GB2312" w:eastAsia="仿宋_GB2312" w:cs="仿宋_GB2312"/>
          <w:color w:val="000000"/>
          <w:sz w:val="32"/>
          <w:szCs w:val="32"/>
        </w:rPr>
        <w:t>社会保障体系。</w:t>
      </w:r>
    </w:p>
    <w:p>
      <w:pPr>
        <w:pStyle w:val="43"/>
        <w:spacing w:beforeLines="50" w:afterLines="50" w:line="600" w:lineRule="exact"/>
        <w:rPr>
          <w:b/>
          <w:bCs/>
          <w:color w:val="000000"/>
          <w:sz w:val="36"/>
          <w:szCs w:val="36"/>
        </w:rPr>
      </w:pPr>
      <w:bookmarkStart w:id="330" w:name="_Toc62991844"/>
      <w:bookmarkStart w:id="331" w:name="_Toc6799"/>
      <w:r>
        <w:rPr>
          <w:rFonts w:hint="eastAsia"/>
          <w:b/>
          <w:bCs/>
          <w:color w:val="000000"/>
          <w:sz w:val="36"/>
          <w:szCs w:val="36"/>
        </w:rPr>
        <w:t>第一节  提高社会保险水平</w:t>
      </w:r>
      <w:bookmarkEnd w:id="330"/>
      <w:bookmarkEnd w:id="331"/>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继续实施全民参保计划，提高基本养老、基本医疗保险参保率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健全基本养老、基本医疗保险筹资和待遇调整机制。落实保险省级统筹，实现智能审核，达到收支平衡。加快推进社保卡“就医一卡通”改革，争取实现“多卡融合、一码就医”。建立健全长期护理保险和异地结算机制，彻底打通最后一公里，真正解决群众看病难看病贵问题。到2025年，参保率达到98.5%以上。</w:t>
      </w:r>
    </w:p>
    <w:p>
      <w:pPr>
        <w:pStyle w:val="43"/>
        <w:spacing w:beforeLines="50" w:afterLines="50"/>
        <w:rPr>
          <w:color w:val="000000"/>
          <w:szCs w:val="32"/>
        </w:rPr>
      </w:pPr>
      <w:bookmarkStart w:id="332" w:name="_Toc62991845"/>
      <w:bookmarkStart w:id="333" w:name="_Toc24662"/>
      <w:r>
        <w:rPr>
          <w:rFonts w:hint="eastAsia"/>
          <w:b/>
          <w:bCs/>
          <w:color w:val="000000"/>
          <w:sz w:val="36"/>
          <w:szCs w:val="36"/>
        </w:rPr>
        <w:t>第二节  健全分层分类社会救助体系</w:t>
      </w:r>
      <w:bookmarkEnd w:id="332"/>
      <w:bookmarkEnd w:id="333"/>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健全老年人、残疾人关爱服务体系和设施，完善帮扶残疾人、孤儿等社会福利制度。落实低收入家庭、低保群体和特困家庭的保障政策，不断提高城市最低生活保障、农村最低生活保障和城市低收入家庭收入标准。深入实施精准扶贫、精准脱贫，完善扶贫到户到人长效机制和扶贫对象认定标准，加强农村低保制度与扶贫开发政策衔接工作，织密扎牢社会救助安全网，筑牢脱贫攻坚和困难群众基本生活保障底线。</w:t>
      </w:r>
    </w:p>
    <w:p>
      <w:pPr>
        <w:pStyle w:val="43"/>
        <w:spacing w:beforeLines="50" w:afterLines="50"/>
        <w:rPr>
          <w:b/>
          <w:bCs/>
          <w:color w:val="000000"/>
          <w:sz w:val="36"/>
          <w:szCs w:val="36"/>
        </w:rPr>
      </w:pPr>
      <w:bookmarkStart w:id="334" w:name="_Toc62991846"/>
      <w:bookmarkStart w:id="335" w:name="_Toc10048"/>
      <w:r>
        <w:rPr>
          <w:rFonts w:hint="eastAsia"/>
          <w:b/>
          <w:bCs/>
          <w:color w:val="000000"/>
          <w:sz w:val="36"/>
          <w:szCs w:val="36"/>
        </w:rPr>
        <w:t>第三节  提升养老服务能力</w:t>
      </w:r>
      <w:bookmarkEnd w:id="334"/>
      <w:bookmarkEnd w:id="335"/>
    </w:p>
    <w:p>
      <w:pPr>
        <w:pStyle w:val="27"/>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健全以居家为基础，社区为依托，机构为支撑，医养相结合的城乡养老服务体系。大力发展城市社区养老服务，做实做强居家养老，有效拓展农村养老服务，构建全方位、多层次、立体化的养老服务体系。推进居家社区养老设施与新住宅小区同步规划、同步建设、同步交付使用。积极开发老龄人力资源，发展银发经济。到2025年，所有街道至少建设一个具备综合功能的社区养老服务中心，城市社区日间照料机构覆盖率达到100%，有条件的乡镇积极建设具备综合功能的社区养老服务机构，每千名老年人养老床位达到40张。</w:t>
      </w:r>
    </w:p>
    <w:p>
      <w:pPr>
        <w:pStyle w:val="43"/>
        <w:spacing w:beforeLines="50" w:afterLines="50"/>
        <w:rPr>
          <w:b/>
          <w:bCs/>
          <w:color w:val="000000"/>
          <w:sz w:val="36"/>
          <w:szCs w:val="36"/>
        </w:rPr>
      </w:pPr>
      <w:bookmarkStart w:id="336" w:name="_Toc62991847"/>
      <w:bookmarkStart w:id="337" w:name="_Toc3826"/>
      <w:r>
        <w:rPr>
          <w:rFonts w:hint="eastAsia"/>
          <w:b/>
          <w:bCs/>
          <w:color w:val="000000"/>
          <w:sz w:val="36"/>
          <w:szCs w:val="36"/>
        </w:rPr>
        <w:t>第四节  健全退役军人服务保障</w:t>
      </w:r>
      <w:bookmarkEnd w:id="336"/>
      <w:bookmarkEnd w:id="337"/>
    </w:p>
    <w:p>
      <w:pPr>
        <w:pStyle w:val="27"/>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拥军优属工作，全面落实退役军人保障相关法律法规和政策措施，为军人和家属排忧解难。退役军人依法享受免费参加职业教育、技能培训。对企业、事业单位、社会组织等用人单位招用退役军人符合国家规定的，依法享受税收优惠等政策。全面营造军人职业尊崇的全社会良好氛围。“十四五”期末，确保退役军人生活有保障，就业有保障。</w:t>
      </w:r>
    </w:p>
    <w:p>
      <w:pPr>
        <w:pStyle w:val="43"/>
        <w:spacing w:beforeLines="50" w:afterLines="50"/>
        <w:rPr>
          <w:rFonts w:hint="eastAsia"/>
          <w:b/>
          <w:bCs/>
          <w:color w:val="000000"/>
          <w:sz w:val="36"/>
          <w:szCs w:val="36"/>
        </w:rPr>
      </w:pPr>
      <w:bookmarkStart w:id="338" w:name="_Toc59223286"/>
      <w:r>
        <w:rPr>
          <w:rFonts w:hint="eastAsia"/>
          <w:b/>
          <w:bCs/>
          <w:color w:val="000000"/>
          <w:sz w:val="36"/>
          <w:szCs w:val="36"/>
          <w:lang w:val="en-US" w:eastAsia="zh-CN"/>
        </w:rPr>
        <w:t xml:space="preserve">  </w:t>
      </w:r>
      <w:bookmarkStart w:id="339" w:name="_Toc21239"/>
      <w:r>
        <w:rPr>
          <w:rFonts w:hint="eastAsia"/>
          <w:b/>
          <w:bCs/>
          <w:color w:val="000000"/>
          <w:sz w:val="36"/>
          <w:szCs w:val="36"/>
        </w:rPr>
        <w:t>第</w:t>
      </w:r>
      <w:r>
        <w:rPr>
          <w:rFonts w:hint="eastAsia"/>
          <w:b/>
          <w:bCs/>
          <w:color w:val="000000"/>
          <w:sz w:val="36"/>
          <w:szCs w:val="36"/>
          <w:lang w:val="en-US" w:eastAsia="zh-CN"/>
        </w:rPr>
        <w:t>五</w:t>
      </w:r>
      <w:r>
        <w:rPr>
          <w:rFonts w:hint="eastAsia"/>
          <w:b/>
          <w:bCs/>
          <w:color w:val="000000"/>
          <w:sz w:val="36"/>
          <w:szCs w:val="36"/>
        </w:rPr>
        <w:t>节 完善妇女儿童关爱服务体系</w:t>
      </w:r>
      <w:bookmarkEnd w:id="338"/>
      <w:bookmarkEnd w:id="339"/>
    </w:p>
    <w:p>
      <w:pPr>
        <w:pStyle w:val="52"/>
        <w:rPr>
          <w:rFonts w:hint="eastAsia"/>
          <w:color w:val="000000"/>
        </w:rPr>
      </w:pPr>
      <w:r>
        <w:rPr>
          <w:rFonts w:hint="eastAsia"/>
          <w:color w:val="000000"/>
        </w:rPr>
        <w:t>坚持男女平等基本国策，切实保障妇女平等获得就学、就业、婚姻财产和参与社会事务等权利，实施妇女儿童发展规划，促进妇女儿童全面发展。依法保障女职工生育权益和母婴权益，扩大母婴室覆盖区域。实施妇幼健康服务能力提升计划，推进妇幼保健院、综合医院妇幼健康服务能力标准化建设，开展出生缺陷综合防治，加强妇女儿童常见病筛查和早诊早治，继续开展农村妇女宫颈癌和乳腺癌筛查。完善儿童关爱保障政策，</w:t>
      </w:r>
      <w:r>
        <w:rPr>
          <w:rFonts w:hint="eastAsia" w:ascii="仿宋_GB2312" w:hAnsi="仿宋_GB2312" w:eastAsia="仿宋_GB2312" w:cs="仿宋_GB2312"/>
          <w:color w:val="000000"/>
          <w:sz w:val="32"/>
          <w:szCs w:val="32"/>
        </w:rPr>
        <w:t>推动3岁以下婴幼儿照护服务。</w:t>
      </w:r>
      <w:r>
        <w:rPr>
          <w:rFonts w:hint="eastAsia"/>
          <w:color w:val="000000"/>
        </w:rPr>
        <w:t>推动儿童福利体系由补缺型向适度普惠转型，加强对困境儿童、农村留守儿童、残疾儿童的救助干预，优化儿童福利保护机构布局，保障儿童身心健康成长发育。更好发挥妇联职能作用，引导妇女自尊自信自立自强，开展富有女性特色的建功立业活动，更加注重发挥妇女在家庭生活中的独特作用，积极预防和制止家庭暴力。严厉打击拐卖妇女儿童，危害青少年身心健康的违法行为，加强中小学欺凌和暴力防治。</w:t>
      </w:r>
    </w:p>
    <w:p>
      <w:pPr>
        <w:pStyle w:val="43"/>
        <w:spacing w:beforeLines="50" w:afterLines="50"/>
        <w:rPr>
          <w:rFonts w:hint="eastAsia"/>
          <w:b/>
          <w:bCs/>
          <w:color w:val="000000"/>
          <w:sz w:val="36"/>
          <w:szCs w:val="36"/>
          <w:lang w:val="en-US" w:eastAsia="zh-CN"/>
        </w:rPr>
      </w:pPr>
      <w:bookmarkStart w:id="340" w:name="_Toc17477"/>
      <w:r>
        <w:rPr>
          <w:rFonts w:hint="eastAsia"/>
          <w:b/>
          <w:bCs/>
          <w:color w:val="000000"/>
          <w:sz w:val="36"/>
          <w:szCs w:val="36"/>
          <w:lang w:val="en-US" w:eastAsia="zh-CN"/>
        </w:rPr>
        <w:t>第六节 完善青年发展机制</w:t>
      </w:r>
      <w:bookmarkEnd w:id="340"/>
    </w:p>
    <w:p>
      <w:pPr>
        <w:ind w:firstLine="640" w:firstLineChars="200"/>
        <w:rPr>
          <w:rFonts w:hint="eastAsia" w:ascii="仿宋" w:hAnsi="仿宋" w:eastAsia="仿宋" w:cs="仿宋"/>
          <w:sz w:val="32"/>
          <w:szCs w:val="32"/>
        </w:rPr>
      </w:pPr>
      <w:r>
        <w:rPr>
          <w:rFonts w:hint="eastAsia" w:ascii="仿宋" w:hAnsi="仿宋" w:eastAsia="仿宋" w:cs="仿宋"/>
          <w:sz w:val="32"/>
          <w:szCs w:val="32"/>
        </w:rPr>
        <w:t>完善青年思想引领机制。明确思想政治教育与德育同步推进，中学、中职学校思想政治理论课每学期课时得到保障。完善青年教育工作机制。加强学校基础教育和社会实践教育的衔接，大力发展职业教育，确保青年受教育权利，基本公共教育服务均等化逐步实现。完善青年就业创业机制。全面落实青年就业服务，加强就业信息服务、就业指导培训等</w:t>
      </w:r>
      <w:r>
        <w:rPr>
          <w:rFonts w:hint="eastAsia" w:ascii="仿宋" w:hAnsi="仿宋" w:eastAsia="仿宋" w:cs="仿宋"/>
          <w:sz w:val="32"/>
          <w:szCs w:val="32"/>
          <w:lang w:eastAsia="zh-CN"/>
        </w:rPr>
        <w:t>。</w:t>
      </w:r>
      <w:r>
        <w:rPr>
          <w:rFonts w:hint="eastAsia" w:ascii="仿宋" w:hAnsi="仿宋" w:eastAsia="仿宋" w:cs="仿宋"/>
          <w:sz w:val="32"/>
          <w:szCs w:val="32"/>
        </w:rPr>
        <w:t>完善青年健康工作机制。积极开展青年体质健康提升工程，深化学校体育改革，大力开展“</w:t>
      </w:r>
      <w:r>
        <w:rPr>
          <w:rFonts w:hint="eastAsia" w:ascii="仿宋" w:hAnsi="仿宋" w:eastAsia="仿宋" w:cs="仿宋"/>
          <w:sz w:val="32"/>
          <w:szCs w:val="32"/>
          <w:lang w:val="en-US" w:eastAsia="zh-CN"/>
        </w:rPr>
        <w:t>阳光大课间</w:t>
      </w:r>
      <w:r>
        <w:rPr>
          <w:rFonts w:hint="eastAsia" w:ascii="仿宋" w:hAnsi="仿宋" w:eastAsia="仿宋" w:cs="仿宋"/>
          <w:sz w:val="32"/>
          <w:szCs w:val="32"/>
        </w:rPr>
        <w:t>”系列活动，青年体质达标率显著提高。完善青年社会融入和社会参与机制。引导广大青年弘扬“奉献、友爱、互助、进步”的志愿精神，推动青年志愿服务制度化、专业化，促进志愿服务与基层治理有效衔接。完善青少年权益保护机制。开通青少年司法援助专用通道，落实青少年司法保护特殊制度。推进青少年违法犯罪工程，鼓励和支持未成年人司法保护社会支持体系建设，畅通跟踪帮教渠道。健全青年工作联席会议机制，持续完善青年发展政策体系和青年发展状况监测评估体系。实施青年优先发展促进工程，加大对青年教育、就业、住房、婚恋、文化等服务支持力度。</w:t>
      </w:r>
    </w:p>
    <w:p>
      <w:pPr>
        <w:pStyle w:val="2"/>
        <w:rPr>
          <w:rFonts w:hint="eastAsia" w:ascii="仿宋" w:hAnsi="仿宋" w:eastAsia="仿宋" w:cs="仿宋"/>
          <w:sz w:val="32"/>
          <w:szCs w:val="32"/>
        </w:rPr>
      </w:pPr>
    </w:p>
    <w:p>
      <w:pPr>
        <w:rPr>
          <w:rFonts w:hint="default"/>
          <w:lang w:val="en-US" w:eastAsia="zh-CN"/>
        </w:rPr>
      </w:pPr>
    </w:p>
    <w:tbl>
      <w:tblPr>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2"/>
      </w:tblGrid>
      <w:tr>
        <w:trPr>
          <w:trHeight w:val="516" w:hRule="atLeast"/>
          <w:jc w:val="center"/>
        </w:trPr>
        <w:tc>
          <w:tcPr>
            <w:tcW w:w="8332" w:type="dxa"/>
            <w:vAlign w:val="center"/>
          </w:tcPr>
          <w:p>
            <w:pPr>
              <w:adjustRightInd w:val="0"/>
              <w:snapToGrid w:val="0"/>
              <w:spacing w:line="360" w:lineRule="auto"/>
              <w:ind w:firstLine="482" w:firstLineChars="20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4"/>
              </w:rPr>
              <w:t>专栏24：社会保障重点项目</w:t>
            </w:r>
          </w:p>
        </w:tc>
      </w:tr>
      <w:tr>
        <w:trPr>
          <w:trHeight w:val="730" w:hRule="atLeast"/>
          <w:jc w:val="center"/>
        </w:trPr>
        <w:tc>
          <w:tcPr>
            <w:tcW w:w="8332" w:type="dxa"/>
            <w:vAlign w:val="center"/>
          </w:tcPr>
          <w:p>
            <w:pPr>
              <w:widowControl/>
              <w:spacing w:line="400" w:lineRule="exact"/>
              <w:ind w:firstLine="48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bCs/>
                <w:color w:val="000000"/>
                <w:sz w:val="24"/>
                <w:lang w:val="en-US" w:eastAsia="zh-CN"/>
              </w:rPr>
              <w:t>重点实施</w:t>
            </w:r>
            <w:r>
              <w:rPr>
                <w:rFonts w:hint="eastAsia" w:ascii="仿宋_GB2312" w:hAnsi="仿宋_GB2312" w:eastAsia="仿宋_GB2312" w:cs="仿宋_GB2312"/>
                <w:bCs/>
                <w:color w:val="000000"/>
                <w:sz w:val="24"/>
              </w:rPr>
              <w:t>郏县儿童福利院、郏县城市服务设施建设项目、郏县未成年人保护中心、郏县军人优抚医院、郏县南后街社区综合服务设施项目、平顶山市郏县80个村儿童之家建设项目、农村公益性公墓、堂街中心敬老院</w:t>
            </w:r>
            <w:r>
              <w:rPr>
                <w:rFonts w:hint="eastAsia" w:ascii="仿宋_GB2312" w:hAnsi="仿宋_GB2312" w:eastAsia="仿宋_GB2312" w:cs="仿宋_GB2312"/>
                <w:bCs/>
                <w:color w:val="000000"/>
                <w:sz w:val="24"/>
                <w:lang w:eastAsia="zh-CN"/>
              </w:rPr>
              <w:t>。</w:t>
            </w:r>
          </w:p>
        </w:tc>
      </w:tr>
    </w:tbl>
    <w:p>
      <w:pPr>
        <w:pStyle w:val="41"/>
        <w:spacing w:beforeLines="100" w:afterLines="100" w:line="600" w:lineRule="exact"/>
        <w:rPr>
          <w:rFonts w:hint="eastAsia" w:ascii="方正小标宋_GBK" w:hAnsi="方正小标宋_GBK" w:eastAsia="方正小标宋_GBK" w:cs="方正小标宋_GBK"/>
          <w:b w:val="0"/>
          <w:color w:val="000000"/>
          <w:sz w:val="32"/>
          <w:szCs w:val="32"/>
        </w:rPr>
      </w:pPr>
      <w:bookmarkStart w:id="341" w:name="_Toc62991848"/>
      <w:bookmarkStart w:id="342" w:name="_Toc27703"/>
      <w:r>
        <w:rPr>
          <w:rFonts w:hint="eastAsia" w:ascii="方正小标宋_GBK" w:hAnsi="方正小标宋_GBK" w:eastAsia="方正小标宋_GBK" w:cs="方正小标宋_GBK"/>
          <w:b w:val="0"/>
          <w:color w:val="000000"/>
          <w:sz w:val="32"/>
          <w:szCs w:val="32"/>
        </w:rPr>
        <w:t>第十篇  深度挖掘内需潜力，积极融入新发展格局</w:t>
      </w:r>
      <w:bookmarkEnd w:id="341"/>
      <w:bookmarkEnd w:id="342"/>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持续释放郏县经济内生增长动力，更好发挥消费的基础作用和投资的关键作用，畅通供需互促、产销并进的良性循环，形成需求牵引供给、供给创造需求的更高水平动态平衡。</w:t>
      </w:r>
    </w:p>
    <w:p>
      <w:pPr>
        <w:pStyle w:val="42"/>
        <w:spacing w:beforeLines="50" w:afterLines="50" w:line="600" w:lineRule="exact"/>
        <w:rPr>
          <w:color w:val="000000"/>
          <w:szCs w:val="32"/>
        </w:rPr>
      </w:pPr>
      <w:bookmarkStart w:id="343" w:name="_Toc62991849"/>
      <w:bookmarkStart w:id="344" w:name="_Toc9471"/>
      <w:r>
        <w:rPr>
          <w:rFonts w:hint="eastAsia"/>
          <w:b w:val="0"/>
          <w:bCs/>
          <w:color w:val="000000"/>
          <w:szCs w:val="32"/>
        </w:rPr>
        <w:t>第一章 积极扩大有效投资</w:t>
      </w:r>
      <w:bookmarkEnd w:id="343"/>
      <w:bookmarkEnd w:id="344"/>
    </w:p>
    <w:p>
      <w:pPr>
        <w:pStyle w:val="29"/>
        <w:ind w:firstLine="640"/>
        <w:rPr>
          <w:rFonts w:ascii="仿宋_GB2312" w:hAnsi="仿宋_GB2312" w:cs="仿宋_GB2312"/>
          <w:color w:val="000000"/>
          <w:szCs w:val="32"/>
        </w:rPr>
      </w:pPr>
      <w:r>
        <w:rPr>
          <w:rFonts w:hint="eastAsia" w:ascii="仿宋_GB2312" w:hAnsi="仿宋_GB2312" w:cs="仿宋_GB2312"/>
          <w:color w:val="000000"/>
          <w:szCs w:val="32"/>
        </w:rPr>
        <w:t>加大补短板、优结构、惠民生、增后劲投资力度，激发各类市场主体投资积极性，提升投资产出效率，保持有效投资合理增长。加强金融知识、融资能力培训，培养一批学经济、懂经济、能干好经济工作的专业化干部队伍。</w:t>
      </w:r>
    </w:p>
    <w:p>
      <w:pPr>
        <w:pStyle w:val="43"/>
        <w:spacing w:beforeLines="50" w:afterLines="50" w:line="600" w:lineRule="exact"/>
        <w:rPr>
          <w:b/>
          <w:bCs/>
          <w:color w:val="000000"/>
          <w:sz w:val="36"/>
          <w:szCs w:val="36"/>
        </w:rPr>
      </w:pPr>
      <w:bookmarkStart w:id="345" w:name="_Toc62991850"/>
      <w:bookmarkStart w:id="346" w:name="_Toc15420"/>
      <w:r>
        <w:rPr>
          <w:rFonts w:hint="eastAsia"/>
          <w:b/>
          <w:bCs/>
          <w:color w:val="000000"/>
          <w:sz w:val="36"/>
          <w:szCs w:val="36"/>
        </w:rPr>
        <w:t>第一节  优化投资结构和方向</w:t>
      </w:r>
      <w:bookmarkEnd w:id="345"/>
      <w:bookmarkEnd w:id="346"/>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保持投资合理增长，发挥投资对优化供给结构的关键作用。注重企业设备更新和技术改造，扩大先进制造业和战略性新兴产业投资，加快郏县装备制造、食品加工、</w:t>
      </w:r>
      <w:r>
        <w:rPr>
          <w:rFonts w:ascii="仿宋_GB2312" w:hAnsi="仿宋_GB2312" w:eastAsia="仿宋_GB2312" w:cs="仿宋_GB2312"/>
          <w:color w:val="000000"/>
          <w:sz w:val="32"/>
          <w:szCs w:val="32"/>
        </w:rPr>
        <w:t>铁锅制造、医药制品、陶瓷</w:t>
      </w:r>
      <w:r>
        <w:rPr>
          <w:rFonts w:hint="eastAsia" w:ascii="仿宋_GB2312" w:hAnsi="仿宋_GB2312" w:eastAsia="仿宋_GB2312" w:cs="仿宋_GB2312"/>
          <w:color w:val="000000"/>
          <w:sz w:val="32"/>
          <w:szCs w:val="32"/>
        </w:rPr>
        <w:t>、建材等产业智能化、绿色化、高端化改造。推进以创新平台、5G网络、物联网、大数据中心、充(换)电站等为重点的新型基础设施，以公共设施完善升级、老旧小区改造等为重点的新型城镇化建设等强基础、增功能、利长远的重大项目建设。持续加大生态保护修复、基础教育、基本医疗、公共卫生、养老托幼、农业农村、应急物资储备等领域投入，加快补齐民生短板。</w:t>
      </w:r>
    </w:p>
    <w:p>
      <w:pPr>
        <w:pStyle w:val="43"/>
        <w:spacing w:beforeLines="50" w:afterLines="50"/>
        <w:rPr>
          <w:b/>
          <w:bCs/>
          <w:color w:val="000000"/>
          <w:sz w:val="36"/>
          <w:szCs w:val="36"/>
        </w:rPr>
      </w:pPr>
      <w:bookmarkStart w:id="347" w:name="_Toc62991851"/>
      <w:bookmarkStart w:id="348" w:name="_Toc30580"/>
      <w:r>
        <w:rPr>
          <w:rFonts w:hint="eastAsia"/>
          <w:b/>
          <w:bCs/>
          <w:color w:val="000000"/>
          <w:sz w:val="36"/>
          <w:szCs w:val="36"/>
        </w:rPr>
        <w:t>第二节  激发民间投资活力</w:t>
      </w:r>
      <w:bookmarkEnd w:id="347"/>
      <w:bookmarkEnd w:id="348"/>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充分发挥政府专项债券的撬动牵引作用，促进民间投资与政府投资、信贷等资金协同联动，形成市场主导的投资内生增长机制。放宽民间资本准入门槛，加快清理废除行业准入、资质标准、招投标、政府采购等领域与企业性质挂钩的不合理规定和做法。及时向社会发布发展规划、产业政策、行业准入标准等宏观政策信息和投资动态信息，健全向民间资本推介项目长效机制，依托推介平台常态化开展项目收集、发布和跟踪服务，引导民间资本积极参与重点领域项目建设。</w:t>
      </w:r>
    </w:p>
    <w:p>
      <w:pPr>
        <w:pStyle w:val="42"/>
        <w:spacing w:beforeLines="50" w:afterLines="50" w:line="600" w:lineRule="exact"/>
        <w:rPr>
          <w:b w:val="0"/>
          <w:bCs/>
          <w:color w:val="000000"/>
          <w:szCs w:val="32"/>
        </w:rPr>
      </w:pPr>
      <w:bookmarkStart w:id="349" w:name="_Toc62991852"/>
      <w:bookmarkStart w:id="350" w:name="_Toc12784"/>
      <w:r>
        <w:rPr>
          <w:rFonts w:hint="eastAsia"/>
          <w:b w:val="0"/>
          <w:bCs/>
          <w:color w:val="000000"/>
          <w:szCs w:val="32"/>
        </w:rPr>
        <w:t>第二章 促进消费扩容提质</w:t>
      </w:r>
      <w:bookmarkEnd w:id="349"/>
      <w:bookmarkEnd w:id="350"/>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顺应消费升级趋势，完善促进消费体制机制，提高居民收入水平和消费能力，持续提升传统消费，大力培育新兴消费，不断激发潜在消费，最大限度释放居民消费潜力。</w:t>
      </w:r>
    </w:p>
    <w:p>
      <w:pPr>
        <w:pStyle w:val="43"/>
        <w:spacing w:beforeLines="50" w:afterLines="50" w:line="600" w:lineRule="exact"/>
        <w:rPr>
          <w:b/>
          <w:bCs/>
          <w:color w:val="000000"/>
          <w:sz w:val="36"/>
          <w:szCs w:val="36"/>
        </w:rPr>
      </w:pPr>
      <w:bookmarkStart w:id="351" w:name="_Toc62991853"/>
      <w:bookmarkStart w:id="352" w:name="_Toc12611"/>
      <w:r>
        <w:rPr>
          <w:rFonts w:hint="eastAsia"/>
          <w:b/>
          <w:bCs/>
          <w:color w:val="000000"/>
          <w:sz w:val="36"/>
          <w:szCs w:val="36"/>
        </w:rPr>
        <w:t>第一节  提升供给质量和水平</w:t>
      </w:r>
      <w:bookmarkEnd w:id="351"/>
      <w:bookmarkEnd w:id="352"/>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把实施扩大内需战略同深化供给侧结构性改革有机结合起来，充分利用国内超大规模市场优势和巨大内需潜力，坚持市场导向、需求导向，提升供给体系对国内需求的适配性。助力郏县铁锅</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蔬菜</w:t>
      </w:r>
      <w:r>
        <w:rPr>
          <w:rFonts w:ascii="仿宋_GB2312" w:hAnsi="仿宋_GB2312" w:eastAsia="仿宋_GB2312" w:cs="仿宋_GB2312"/>
          <w:color w:val="000000"/>
          <w:sz w:val="32"/>
          <w:szCs w:val="32"/>
        </w:rPr>
        <w:t>加工</w:t>
      </w:r>
      <w:r>
        <w:rPr>
          <w:rFonts w:hint="eastAsia" w:ascii="仿宋_GB2312" w:hAnsi="仿宋_GB2312" w:eastAsia="仿宋_GB2312" w:cs="仿宋_GB2312"/>
          <w:color w:val="000000"/>
          <w:sz w:val="32"/>
          <w:szCs w:val="32"/>
        </w:rPr>
        <w:t>、磨料磨具等部分外贸型企业转型升级，积极适应低迷国际市场，适当降低外贸依存度，深入开展智能化、高端化、品牌化产品升级，提升供给质量，引领更大规模的市场需求，以郏县制造、郏县质量、郏县品牌激发消费潜力。</w:t>
      </w:r>
    </w:p>
    <w:p>
      <w:pPr>
        <w:pStyle w:val="43"/>
        <w:spacing w:beforeLines="50" w:afterLines="50" w:line="600" w:lineRule="exact"/>
        <w:rPr>
          <w:b/>
          <w:bCs/>
          <w:color w:val="000000"/>
          <w:sz w:val="36"/>
          <w:szCs w:val="36"/>
        </w:rPr>
      </w:pPr>
      <w:bookmarkStart w:id="353" w:name="_Toc62991854"/>
      <w:bookmarkStart w:id="354" w:name="_Toc3429"/>
      <w:r>
        <w:rPr>
          <w:rFonts w:hint="eastAsia"/>
          <w:b/>
          <w:bCs/>
          <w:color w:val="000000"/>
          <w:sz w:val="36"/>
          <w:szCs w:val="36"/>
        </w:rPr>
        <w:t>第二节  培育消费新增长点</w:t>
      </w:r>
      <w:bookmarkEnd w:id="353"/>
      <w:bookmarkEnd w:id="354"/>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质量品牌为重点，以旅游业、电子商务等现代服务业为新支点，优化布局本土市场，扩大重点商品消费，壮大服务消费，振兴乡村消费，拓展信息消费，支持共享消费，培育新型消费和绿色消费，创新夜间经济，适当增加公共消费，助推住房消费健康发展，构建线上线下融合的“互联网+消费”生态体系。加快电商平台企业线下延伸拓展和传统线下业态数字化转型升级，持续推进郏县电商平台建设，加快打造电子商务进农村升级版示范工作，正确引导网络直播发展，促进线上线下融合消费双向提速。培育中高端服务消费增长点，鼓励实施景区门票优惠、演出门票打折等惠民政策，积极发展租赁式公寓、精品民宿、乡村农家乐等旅游短租服务，扩大教育培训托幼、健康养老家政、文化体育等领域高品质服务供给。</w:t>
      </w:r>
    </w:p>
    <w:p>
      <w:pPr>
        <w:pStyle w:val="43"/>
        <w:spacing w:beforeLines="50" w:afterLines="50" w:line="600" w:lineRule="exact"/>
        <w:rPr>
          <w:b/>
          <w:bCs/>
          <w:color w:val="000000"/>
          <w:sz w:val="36"/>
          <w:szCs w:val="36"/>
        </w:rPr>
      </w:pPr>
      <w:bookmarkStart w:id="355" w:name="_Toc62991855"/>
      <w:bookmarkStart w:id="356" w:name="_Toc30557"/>
      <w:r>
        <w:rPr>
          <w:rFonts w:hint="eastAsia"/>
          <w:b/>
          <w:bCs/>
          <w:color w:val="000000"/>
          <w:sz w:val="36"/>
          <w:szCs w:val="36"/>
        </w:rPr>
        <w:t>第三节  优化提升消费环境</w:t>
      </w:r>
      <w:bookmarkEnd w:id="355"/>
      <w:bookmarkEnd w:id="356"/>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加强集聚消费街区、商业综合消费体建设，优化城乡商业网点布局，加快建设城市社区“1</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分钟便利店+10分钟农贸市场+15分钟超市”便民生活服务圈和农村社区综合性服务网点。开展质量品牌竞争力提升行动，推进消费品高端品质认证，加强郏县老字号品牌保护和培育。将农产品质量</w:t>
      </w:r>
      <w:r>
        <w:rPr>
          <w:rFonts w:ascii="仿宋_GB2312" w:hAnsi="仿宋_GB2312" w:eastAsia="仿宋_GB2312" w:cs="仿宋_GB2312"/>
          <w:color w:val="000000"/>
          <w:sz w:val="32"/>
          <w:szCs w:val="32"/>
        </w:rPr>
        <w:t>安全</w:t>
      </w:r>
      <w:r>
        <w:rPr>
          <w:rFonts w:hint="eastAsia" w:ascii="仿宋_GB2312" w:hAnsi="仿宋_GB2312" w:eastAsia="仿宋_GB2312" w:cs="仿宋_GB2312"/>
          <w:color w:val="000000"/>
          <w:sz w:val="32"/>
          <w:szCs w:val="32"/>
        </w:rPr>
        <w:t>监管</w:t>
      </w:r>
      <w:r>
        <w:rPr>
          <w:rFonts w:ascii="仿宋_GB2312" w:hAnsi="仿宋_GB2312" w:eastAsia="仿宋_GB2312" w:cs="仿宋_GB2312"/>
          <w:color w:val="000000"/>
          <w:sz w:val="32"/>
          <w:szCs w:val="32"/>
        </w:rPr>
        <w:t>纳入</w:t>
      </w:r>
      <w:r>
        <w:rPr>
          <w:rFonts w:hint="eastAsia" w:ascii="仿宋_GB2312" w:hAnsi="仿宋_GB2312" w:eastAsia="仿宋_GB2312" w:cs="仿宋_GB2312"/>
          <w:color w:val="000000"/>
          <w:sz w:val="32"/>
          <w:szCs w:val="32"/>
        </w:rPr>
        <w:t>政府</w:t>
      </w:r>
      <w:r>
        <w:rPr>
          <w:rFonts w:ascii="仿宋_GB2312" w:hAnsi="仿宋_GB2312" w:eastAsia="仿宋_GB2312" w:cs="仿宋_GB2312"/>
          <w:color w:val="000000"/>
          <w:sz w:val="32"/>
          <w:szCs w:val="32"/>
        </w:rPr>
        <w:t>绩效考核体系，</w:t>
      </w:r>
      <w:r>
        <w:rPr>
          <w:rFonts w:hint="eastAsia" w:ascii="仿宋_GB2312" w:hAnsi="仿宋_GB2312" w:eastAsia="仿宋_GB2312" w:cs="仿宋_GB2312"/>
          <w:color w:val="000000"/>
          <w:sz w:val="32"/>
          <w:szCs w:val="32"/>
        </w:rPr>
        <w:t>完善线上线下一体融合的产品质量安全监测监管和服务责任追溯制度，广泛开展消费后评价，全面打击各类侵犯知识产权和制售伪劣商品违法犯罪活动。破除妨碍生产要素市场化配置和商品服务流通的体制机制障碍，畅通消费者维权渠道，加强消费者个人信息保护，加大电商、金融等重点领域消费者权益保护力度。</w:t>
      </w:r>
      <w:bookmarkEnd w:id="297"/>
      <w:bookmarkEnd w:id="298"/>
    </w:p>
    <w:p>
      <w:pPr>
        <w:pStyle w:val="41"/>
        <w:spacing w:beforeLines="100" w:afterLines="100" w:line="600" w:lineRule="exact"/>
        <w:rPr>
          <w:rFonts w:hint="eastAsia" w:ascii="方正小标宋_GBK" w:hAnsi="方正小标宋_GBK" w:eastAsia="方正小标宋_GBK" w:cs="方正小标宋_GBK"/>
          <w:b w:val="0"/>
          <w:color w:val="000000"/>
          <w:sz w:val="32"/>
          <w:szCs w:val="32"/>
        </w:rPr>
      </w:pPr>
      <w:bookmarkStart w:id="357" w:name="_Toc62991856"/>
      <w:bookmarkStart w:id="358" w:name="_Toc22605"/>
      <w:r>
        <w:rPr>
          <w:rFonts w:hint="eastAsia" w:ascii="方正小标宋_GBK" w:hAnsi="方正小标宋_GBK" w:eastAsia="方正小标宋_GBK" w:cs="方正小标宋_GBK"/>
          <w:b w:val="0"/>
          <w:color w:val="000000"/>
          <w:sz w:val="32"/>
          <w:szCs w:val="32"/>
        </w:rPr>
        <w:t>第十一篇  坚持深化改革开放，打造高质量发展高地</w:t>
      </w:r>
      <w:bookmarkEnd w:id="357"/>
      <w:bookmarkEnd w:id="358"/>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动有效市场和有为政府优势结合，加速政府职能、营商环境、引资引智模式“三个转变”。加快区域合作步伐，实行高水平对外开放，建立营商环境优越、市场主体活力凸显、区域合作活跃的创新开放高地、营商环境洼地。</w:t>
      </w:r>
    </w:p>
    <w:p>
      <w:pPr>
        <w:pStyle w:val="42"/>
        <w:spacing w:beforeLines="50" w:afterLines="50" w:line="600" w:lineRule="exact"/>
        <w:rPr>
          <w:b w:val="0"/>
          <w:bCs/>
          <w:color w:val="000000"/>
          <w:szCs w:val="32"/>
        </w:rPr>
      </w:pPr>
      <w:bookmarkStart w:id="359" w:name="_Toc62991857"/>
      <w:bookmarkStart w:id="360" w:name="_Toc19238"/>
      <w:r>
        <w:rPr>
          <w:rFonts w:hint="eastAsia"/>
          <w:b w:val="0"/>
          <w:bCs/>
          <w:color w:val="000000"/>
          <w:szCs w:val="32"/>
        </w:rPr>
        <w:t>第一章  激发各类市场主体活力</w:t>
      </w:r>
      <w:bookmarkEnd w:id="359"/>
      <w:bookmarkEnd w:id="360"/>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推进国有经济布局优化和结构调整，积极稳妥推进国有企业混合所有制改革，营造支持非公有制经济高质量发展的制度环境，培育更多充满活力的市场主体。</w:t>
      </w:r>
    </w:p>
    <w:p>
      <w:pPr>
        <w:pStyle w:val="43"/>
        <w:spacing w:beforeLines="50" w:afterLines="50" w:line="600" w:lineRule="exact"/>
        <w:rPr>
          <w:b/>
          <w:bCs/>
          <w:color w:val="000000"/>
          <w:sz w:val="36"/>
          <w:szCs w:val="36"/>
        </w:rPr>
      </w:pPr>
      <w:bookmarkStart w:id="361" w:name="_Toc62991858"/>
      <w:bookmarkStart w:id="362" w:name="_Toc6921"/>
      <w:r>
        <w:rPr>
          <w:rFonts w:hint="eastAsia"/>
          <w:b/>
          <w:bCs/>
          <w:color w:val="000000"/>
          <w:sz w:val="36"/>
          <w:szCs w:val="36"/>
        </w:rPr>
        <w:t>第一节  深化国资国企改革</w:t>
      </w:r>
      <w:bookmarkEnd w:id="361"/>
      <w:bookmarkEnd w:id="362"/>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国有经济布局优化和结构调整，调整存量国有企业结构，优化增量国有资本投向，进一步聚焦重大战略、产业引领、公共服务等功能，推进国有资本向重要行业和关键领域集中。稳步扩大国有资本投资、运营公司试点范围，更好发挥投资公司产业投资功能和运营公司资本经营功能。深入实施国企改革行动，推动国有企业聚焦主责主业、按照业务板块实施整合重组。推进混合所有制改革提质扩面，积极引入民营资本和战略投资者。健全以管资本为主的国有资产监管体制，深入开展分类授权放权和国有资本经营预算管理，完善国资监管平台功能，建立健全差异化的治理机制、考核评价机制和监管制度。</w:t>
      </w:r>
    </w:p>
    <w:p>
      <w:pPr>
        <w:pStyle w:val="43"/>
        <w:spacing w:beforeLines="50" w:afterLines="50" w:line="600" w:lineRule="exact"/>
        <w:rPr>
          <w:b/>
          <w:bCs/>
          <w:color w:val="000000"/>
          <w:sz w:val="36"/>
          <w:szCs w:val="36"/>
        </w:rPr>
      </w:pPr>
      <w:bookmarkStart w:id="363" w:name="_Toc62991859"/>
      <w:bookmarkStart w:id="364" w:name="_Toc13771"/>
      <w:r>
        <w:rPr>
          <w:rFonts w:hint="eastAsia"/>
          <w:b/>
          <w:bCs/>
          <w:color w:val="000000"/>
          <w:sz w:val="36"/>
          <w:szCs w:val="36"/>
        </w:rPr>
        <w:t>第二节  促进民营经济健康发展</w:t>
      </w:r>
      <w:bookmarkEnd w:id="363"/>
      <w:bookmarkEnd w:id="364"/>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破除制约市场竞争的各类障碍，保证民营企业在要素获取、准入许可、经营运行、政府采购和招投标等方面享受平等待遇。落实国家减税降费政策，健全清理和防止拖欠民营企业、中小企业账款的长效机制。增加面向民营企业和中小企业的金融服务供给，合理提高民营企业中长期贷款、信用贷款投放比例。引导民营企业积极履行社会责任，弘扬具有郏县特色的企业家、创业者精神。支持民营企业积极参与国有企业改革，鼓励有条件的民营企业建立健全股东会、董事会、监事会等现代企业制度。</w:t>
      </w:r>
    </w:p>
    <w:p>
      <w:pPr>
        <w:pStyle w:val="43"/>
        <w:spacing w:beforeLines="50" w:afterLines="50" w:line="600" w:lineRule="exact"/>
        <w:rPr>
          <w:rFonts w:hAnsi="楷体_GB2312" w:cs="楷体_GB2312"/>
          <w:b/>
          <w:bCs/>
          <w:color w:val="000000"/>
          <w:sz w:val="36"/>
          <w:szCs w:val="36"/>
        </w:rPr>
      </w:pPr>
      <w:bookmarkStart w:id="365" w:name="_Toc62991860"/>
      <w:bookmarkStart w:id="366" w:name="_Toc31547"/>
      <w:r>
        <w:rPr>
          <w:rFonts w:hint="eastAsia"/>
          <w:b/>
          <w:bCs/>
          <w:color w:val="000000"/>
          <w:sz w:val="36"/>
          <w:szCs w:val="36"/>
        </w:rPr>
        <w:t>第三节  深化要素市场改革</w:t>
      </w:r>
      <w:bookmarkEnd w:id="365"/>
      <w:bookmarkEnd w:id="366"/>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健全统一开放的要素市场，深化产业用地市场化配置改革，推行工业项目“标准地”制度，探索增加混合产业用地供给。加快要素价格市场化改革，最大限度减少政府对价格形成的不当干预，引导市场主体依法合理行使要素定价自主权，推动政府定价机制由制定具体价格水平向制定定价规则转变。完善城乡基准地价、标定地价的制定与发布制度，逐步形成与市场价格挂钩动态调整机制。建立健全要素价格调查和信息发布制度。全面贯彻落实以增加知识价值为导向的收入分配政策。完善要素市场运行机制，拓展公共资源交易平台功能，健全科技成果、数据等要素市场化交易平台，支持各类所有制企业参与要素交易平台建设。</w:t>
      </w:r>
    </w:p>
    <w:p>
      <w:pPr>
        <w:pStyle w:val="43"/>
        <w:spacing w:beforeLines="50" w:afterLines="50" w:line="600" w:lineRule="exact"/>
        <w:rPr>
          <w:b/>
          <w:bCs/>
          <w:color w:val="000000"/>
          <w:sz w:val="36"/>
          <w:szCs w:val="36"/>
        </w:rPr>
      </w:pPr>
      <w:bookmarkStart w:id="367" w:name="_Toc62991861"/>
      <w:bookmarkStart w:id="368" w:name="_Toc2806"/>
      <w:r>
        <w:rPr>
          <w:rFonts w:hint="eastAsia"/>
          <w:b/>
          <w:bCs/>
          <w:color w:val="000000"/>
          <w:sz w:val="36"/>
          <w:szCs w:val="36"/>
        </w:rPr>
        <w:t>第四节  深化财税体制改革</w:t>
      </w:r>
      <w:bookmarkEnd w:id="367"/>
      <w:bookmarkEnd w:id="368"/>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财政资源统筹，加强中期财政规划管理，增强重大战略任务财力保障。深化预算管理制度改革，推进零基预算管理，完善政府预算体系。推进财政支出标准化，强化预算约束和绩效管理。加快推进县级政府事权与支出责任划分改革，增强基层公共服务保障能力，深化税收征管机制改革。统筹推</w:t>
      </w:r>
      <w:r>
        <w:rPr>
          <w:rFonts w:hint="eastAsia" w:ascii="仿宋_GB2312" w:hAnsi="仿宋_GB2312" w:eastAsia="仿宋_GB2312" w:cs="仿宋_GB2312"/>
          <w:color w:val="000000"/>
          <w:spacing w:val="-6"/>
          <w:sz w:val="32"/>
          <w:szCs w:val="32"/>
        </w:rPr>
        <w:t>进非税收入改革。完善政府债务</w:t>
      </w:r>
      <w:r>
        <w:rPr>
          <w:rFonts w:hint="eastAsia" w:ascii="仿宋_GB2312" w:hAnsi="仿宋_GB2312" w:eastAsia="仿宋_GB2312" w:cs="仿宋_GB2312"/>
          <w:color w:val="000000"/>
          <w:sz w:val="32"/>
          <w:szCs w:val="32"/>
        </w:rPr>
        <w:t>管理及风险预警机制。健全落实国家财政政策和货币政策的有效机制，推进统计现代化改革。</w:t>
      </w:r>
    </w:p>
    <w:p>
      <w:pPr>
        <w:pStyle w:val="42"/>
        <w:spacing w:beforeLines="50" w:afterLines="50" w:line="600" w:lineRule="exact"/>
        <w:rPr>
          <w:b w:val="0"/>
          <w:bCs/>
          <w:color w:val="000000"/>
          <w:szCs w:val="32"/>
        </w:rPr>
      </w:pPr>
      <w:bookmarkStart w:id="369" w:name="_Toc62991862"/>
      <w:bookmarkStart w:id="370" w:name="_Toc6160"/>
      <w:r>
        <w:rPr>
          <w:rFonts w:hint="eastAsia"/>
          <w:b w:val="0"/>
          <w:bCs/>
          <w:color w:val="000000"/>
          <w:szCs w:val="32"/>
        </w:rPr>
        <w:t>第二章  着力打造一流营商环境</w:t>
      </w:r>
      <w:bookmarkEnd w:id="369"/>
      <w:bookmarkEnd w:id="370"/>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坚持市场化、法制化、国际化原则，实施营商环境重点领域攻坚行动，强化营商政策升级，推动政府职能转变，营造一流营商环境。</w:t>
      </w:r>
    </w:p>
    <w:p>
      <w:pPr>
        <w:pStyle w:val="43"/>
        <w:spacing w:beforeLines="50" w:afterLines="50" w:line="600" w:lineRule="exact"/>
        <w:rPr>
          <w:b/>
          <w:bCs/>
          <w:color w:val="000000"/>
          <w:sz w:val="36"/>
          <w:szCs w:val="36"/>
        </w:rPr>
      </w:pPr>
      <w:bookmarkStart w:id="371" w:name="_Toc62991863"/>
      <w:bookmarkStart w:id="372" w:name="_Toc26257"/>
      <w:r>
        <w:rPr>
          <w:rFonts w:hint="eastAsia"/>
          <w:b/>
          <w:bCs/>
          <w:color w:val="000000"/>
          <w:sz w:val="36"/>
          <w:szCs w:val="36"/>
        </w:rPr>
        <w:t>第一节  营造高效政务环境</w:t>
      </w:r>
      <w:bookmarkEnd w:id="371"/>
      <w:bookmarkEnd w:id="372"/>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纵深推进“放管服”改革，深入推进简政放权、放管结合、优化服务，全面提升政务服务便利化水平。持续完善具有郏县特色的招商项目评估、重大项目责任推进机制、领导分包项目</w:t>
      </w:r>
      <w:r>
        <w:rPr>
          <w:rFonts w:hint="eastAsia" w:ascii="仿宋_GB2312" w:hAnsi="仿宋_GB2312" w:eastAsia="仿宋_GB2312" w:cs="仿宋_GB2312"/>
          <w:color w:val="000000"/>
          <w:spacing w:val="-6"/>
          <w:sz w:val="32"/>
          <w:szCs w:val="32"/>
        </w:rPr>
        <w:t>制度，加快审批服务事项权力清单和监管清单管</w:t>
      </w:r>
      <w:r>
        <w:rPr>
          <w:rFonts w:hint="eastAsia" w:ascii="仿宋_GB2312" w:hAnsi="仿宋_GB2312" w:eastAsia="仿宋_GB2312" w:cs="仿宋_GB2312"/>
          <w:color w:val="000000"/>
          <w:sz w:val="32"/>
          <w:szCs w:val="32"/>
        </w:rPr>
        <w:t>理，完善落地项目推进机制，确保政府投资项目和企业重点投资项目提前进入审批开工程序。持续深化商事制度改革，建立完善联审联办、多证合一、证照分离等审批制度和办事流程，加快“一网通办”前提下“最多跑一次”改革，打造“环节简、流程优、效率高、服务好”的行政审批和服务体系。开展投资环境评价评议，实现由优惠政策招商向良好投资环境招商的转变。</w:t>
      </w:r>
    </w:p>
    <w:p>
      <w:pPr>
        <w:pStyle w:val="43"/>
        <w:spacing w:beforeLines="50" w:afterLines="50" w:line="600" w:lineRule="exact"/>
        <w:rPr>
          <w:b/>
          <w:bCs/>
          <w:color w:val="000000"/>
          <w:sz w:val="36"/>
          <w:szCs w:val="36"/>
        </w:rPr>
      </w:pPr>
      <w:bookmarkStart w:id="373" w:name="_Toc62991864"/>
      <w:bookmarkStart w:id="374" w:name="_Toc22930"/>
      <w:r>
        <w:rPr>
          <w:rFonts w:hint="eastAsia"/>
          <w:b/>
          <w:bCs/>
          <w:color w:val="000000"/>
          <w:sz w:val="36"/>
          <w:szCs w:val="36"/>
        </w:rPr>
        <w:t>第二节  规范法治营商环境</w:t>
      </w:r>
      <w:bookmarkEnd w:id="373"/>
      <w:bookmarkEnd w:id="374"/>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法保护各种所有制经济产权和合法权益，做到“法无授权不可为、法定职责必须为”。全面实施市场准入负面清单制度。严厉打击非法侵害投资者、企业家利益的违法行为，主动协调解决投资商提出的问题和困难，营造亲商、安商的社会氛围。全面落实重大行政决策程序规定，完善合法性审查、风险评估、责任追究等制度，建立群众参与基层社会治理的制度化渠道，做到科学民主依法决策。</w:t>
      </w:r>
    </w:p>
    <w:p>
      <w:pPr>
        <w:pStyle w:val="43"/>
        <w:spacing w:beforeLines="50" w:afterLines="50" w:line="600" w:lineRule="exact"/>
        <w:rPr>
          <w:b/>
          <w:bCs/>
          <w:color w:val="000000"/>
          <w:sz w:val="36"/>
          <w:szCs w:val="36"/>
        </w:rPr>
      </w:pPr>
      <w:bookmarkStart w:id="375" w:name="_Toc62991865"/>
      <w:bookmarkStart w:id="376" w:name="_Toc25911"/>
      <w:r>
        <w:rPr>
          <w:rFonts w:hint="eastAsia"/>
          <w:b/>
          <w:bCs/>
          <w:color w:val="000000"/>
          <w:sz w:val="36"/>
          <w:szCs w:val="36"/>
        </w:rPr>
        <w:t>第三节  建设社会诚信体系</w:t>
      </w:r>
      <w:bookmarkEnd w:id="375"/>
      <w:bookmarkEnd w:id="376"/>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营造诚实守约的信用环境，形成以信用监管为核心的现代化新型监管机制，建设“互联网+监管”数据清单管理机制，强化公共信用信息归集共享，发挥诚信数据资源价值。积极开展诚信“红黑榜”认定、发布。大力推进信用分级分类监管工作，按照市场主体信用状况采取差异化管理。积极引进第三方信用服务机构，依托信用服务机构开展失信治理绩效测评，在行政事项中广泛使用信用记录和信用报告，形成社会诚信</w:t>
      </w:r>
      <w:r>
        <w:rPr>
          <w:rFonts w:hint="eastAsia" w:ascii="仿宋_GB2312" w:hAnsi="仿宋_GB2312" w:eastAsia="仿宋_GB2312" w:cs="仿宋_GB2312"/>
          <w:color w:val="000000"/>
          <w:spacing w:val="-6"/>
          <w:sz w:val="32"/>
          <w:szCs w:val="32"/>
        </w:rPr>
        <w:t>联合奖惩机制，有效服务监督全县各类市</w:t>
      </w:r>
      <w:r>
        <w:rPr>
          <w:rFonts w:hint="eastAsia" w:ascii="仿宋_GB2312" w:hAnsi="仿宋_GB2312" w:eastAsia="仿宋_GB2312" w:cs="仿宋_GB2312"/>
          <w:color w:val="000000"/>
          <w:sz w:val="32"/>
          <w:szCs w:val="32"/>
        </w:rPr>
        <w:t>场主体，助力中小微企业信用融资，以此逐步建立规范有序、诚实守信、服务经济、运行高效、监管有力的市场环境，打造“诚信郏县”。</w:t>
      </w:r>
    </w:p>
    <w:p>
      <w:pPr>
        <w:pStyle w:val="43"/>
        <w:spacing w:afterLines="50" w:line="600" w:lineRule="exact"/>
        <w:rPr>
          <w:b/>
          <w:bCs/>
          <w:color w:val="000000"/>
          <w:sz w:val="36"/>
          <w:szCs w:val="36"/>
        </w:rPr>
      </w:pPr>
      <w:bookmarkStart w:id="377" w:name="_Toc62991866"/>
      <w:bookmarkStart w:id="378" w:name="_Toc21437"/>
      <w:r>
        <w:rPr>
          <w:rFonts w:hint="eastAsia"/>
          <w:b/>
          <w:bCs/>
          <w:color w:val="000000"/>
          <w:sz w:val="36"/>
          <w:szCs w:val="36"/>
        </w:rPr>
        <w:t>第四节  构建亲清政商关系</w:t>
      </w:r>
      <w:bookmarkEnd w:id="377"/>
      <w:bookmarkEnd w:id="378"/>
    </w:p>
    <w:p>
      <w:pPr>
        <w:pStyle w:val="27"/>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规范化机制化政企沟通渠道，鼓励行业协会商会、社会团体在政企沟通中发挥建设性作用。完善涉企政策制定和执行机制，健全政府重大经济决策主动向企业家问计求策和意见处理反馈的程序性规范，参与涉企政策制定的民营企业家代表比例原则上不低于70%。完善涉企政策宣传解读和执行监督，健全评估调整程序，必要时合理设置政策调整缓冲过渡期。完善企业全生命周期服务模式和服务链条，持续实施项目首席服务官制度。规范党政人员与民营经济人士联系交往，建立健全政商交往正面和负面清单，做到“亲”而有度，“清”而有为。</w:t>
      </w:r>
    </w:p>
    <w:p>
      <w:pPr>
        <w:pStyle w:val="42"/>
        <w:spacing w:beforeLines="50" w:afterLines="50" w:line="600" w:lineRule="exact"/>
        <w:rPr>
          <w:b w:val="0"/>
          <w:bCs/>
          <w:color w:val="000000"/>
          <w:szCs w:val="32"/>
        </w:rPr>
      </w:pPr>
      <w:bookmarkStart w:id="379" w:name="_Toc62991867"/>
      <w:bookmarkStart w:id="380" w:name="_Toc21883"/>
      <w:r>
        <w:rPr>
          <w:rFonts w:hint="eastAsia"/>
          <w:b w:val="0"/>
          <w:bCs/>
          <w:color w:val="000000"/>
          <w:szCs w:val="32"/>
        </w:rPr>
        <w:t>第三章  提升开放型经济水平</w:t>
      </w:r>
      <w:bookmarkEnd w:id="379"/>
      <w:bookmarkEnd w:id="380"/>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内外联动、量质并重、全域统筹，深度链接国内国际双循环，实施更大范围、更宽领域、更深层次对外开放，开拓郏县开放合作新局面。加大境外资金招商力度，引进外资企业，增大外资体量，培育和壮大外贸自主出口企业，增大出口份额。</w:t>
      </w:r>
    </w:p>
    <w:p>
      <w:pPr>
        <w:pStyle w:val="43"/>
        <w:spacing w:beforeLines="50" w:afterLines="50" w:line="600" w:lineRule="exact"/>
        <w:rPr>
          <w:b/>
          <w:bCs/>
          <w:color w:val="000000"/>
          <w:sz w:val="36"/>
          <w:szCs w:val="36"/>
        </w:rPr>
      </w:pPr>
      <w:bookmarkStart w:id="381" w:name="_Toc62991868"/>
      <w:bookmarkStart w:id="382" w:name="_Toc9021"/>
      <w:r>
        <w:rPr>
          <w:rFonts w:hint="eastAsia"/>
          <w:b/>
          <w:bCs/>
          <w:color w:val="000000"/>
          <w:sz w:val="36"/>
          <w:szCs w:val="36"/>
        </w:rPr>
        <w:t>第一节  打造开放型经济载体</w:t>
      </w:r>
      <w:bookmarkEnd w:id="381"/>
      <w:bookmarkEnd w:id="382"/>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紧紧把握“筑巢引凤”的方针，引进一批投资强度高、科技含量高、关联度高的龙头型、基地型、集群型项目。加快产业集聚区、商务中心区、“双创”综合体、返乡创业孵化园等园区的服务提质和布局优化，加快建设标准化厂房、绿化道路、公寓餐厅等基础设施和配套科教文卫服务设施建设，加快项目入驻步伐，缩短项目建设周期，打造具备较强承接能级和吸引辐射力的发展主阵地。</w:t>
      </w:r>
    </w:p>
    <w:p>
      <w:pPr>
        <w:pStyle w:val="43"/>
        <w:spacing w:beforeLines="50" w:afterLines="50" w:line="600" w:lineRule="exact"/>
        <w:rPr>
          <w:b/>
          <w:bCs/>
          <w:color w:val="000000"/>
          <w:sz w:val="36"/>
          <w:szCs w:val="36"/>
        </w:rPr>
      </w:pPr>
      <w:bookmarkStart w:id="383" w:name="_Toc62991869"/>
      <w:bookmarkStart w:id="384" w:name="_Toc20538"/>
      <w:r>
        <w:rPr>
          <w:rFonts w:hint="eastAsia"/>
          <w:b/>
          <w:bCs/>
          <w:color w:val="000000"/>
          <w:sz w:val="36"/>
          <w:szCs w:val="36"/>
        </w:rPr>
        <w:t>第二节  大力推进开放招商</w:t>
      </w:r>
      <w:bookmarkEnd w:id="383"/>
      <w:bookmarkEnd w:id="384"/>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把招商引资摆上经济发展的第一议程，围绕前沿技术研发、科技创新与服务等高端环节，对外瞄准综合实力突出的“旗舰型”企业，对内紧盯竞争力强劲的“领头羊”企业，重点引进高科技领域的“独角兽”企业。主动对接郑洛新自主创新示范区，搭乘郑州航空港区发展机遇，加快实现由项目招商向产业招商、数量招商向质量招商、全员招商向专班招商转变，在更大范围开展延链、补链、强链的精准招商。完善产业集群招商、资本招商、众创孵化招商、以商招商、以企引企、回归招商、云招商等新模式，</w:t>
      </w:r>
      <w:r>
        <w:rPr>
          <w:rFonts w:hint="eastAsia" w:ascii="仿宋_GB2312" w:hAnsi="仿宋_GB2312" w:eastAsia="仿宋_GB2312" w:cs="仿宋_GB2312"/>
          <w:color w:val="000000"/>
          <w:sz w:val="32"/>
          <w:szCs w:val="32"/>
          <w:lang w:val="en-US" w:eastAsia="zh-CN"/>
        </w:rPr>
        <w:t>实行招商引资链长制，</w:t>
      </w:r>
      <w:r>
        <w:rPr>
          <w:rFonts w:hint="eastAsia" w:ascii="仿宋_GB2312" w:hAnsi="仿宋_GB2312" w:eastAsia="仿宋_GB2312" w:cs="仿宋_GB2312"/>
          <w:color w:val="000000"/>
          <w:sz w:val="32"/>
          <w:szCs w:val="32"/>
        </w:rPr>
        <w:t>聚焦装备制造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铸铁锅等郏县优势产业，积极组织和参加集中招商活动。</w:t>
      </w:r>
    </w:p>
    <w:p>
      <w:pPr>
        <w:pStyle w:val="43"/>
        <w:spacing w:beforeLines="50" w:afterLines="50" w:line="600" w:lineRule="exact"/>
        <w:rPr>
          <w:b/>
          <w:bCs/>
          <w:color w:val="000000"/>
          <w:sz w:val="36"/>
          <w:szCs w:val="36"/>
        </w:rPr>
      </w:pPr>
      <w:bookmarkStart w:id="385" w:name="_Toc62991870"/>
      <w:bookmarkStart w:id="386" w:name="_Toc6381"/>
      <w:r>
        <w:rPr>
          <w:rFonts w:hint="eastAsia"/>
          <w:b/>
          <w:bCs/>
          <w:color w:val="000000"/>
          <w:sz w:val="36"/>
          <w:szCs w:val="36"/>
        </w:rPr>
        <w:t>第三节  拓展国际合作空间</w:t>
      </w:r>
      <w:bookmarkEnd w:id="385"/>
      <w:bookmarkEnd w:id="386"/>
    </w:p>
    <w:p>
      <w:pPr>
        <w:pStyle w:val="27"/>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提高“走出去”综合</w:t>
      </w:r>
      <w:r>
        <w:rPr>
          <w:rFonts w:hint="eastAsia" w:ascii="仿宋_GB2312" w:hAnsi="仿宋_GB2312" w:eastAsia="仿宋_GB2312" w:cs="仿宋_GB2312"/>
          <w:color w:val="000000"/>
          <w:sz w:val="32"/>
          <w:szCs w:val="32"/>
        </w:rPr>
        <w:t>水平</w:t>
      </w:r>
      <w:r>
        <w:rPr>
          <w:rFonts w:ascii="仿宋_GB2312" w:hAnsi="仿宋_GB2312" w:eastAsia="仿宋_GB2312" w:cs="仿宋_GB2312"/>
          <w:color w:val="000000"/>
          <w:sz w:val="32"/>
          <w:szCs w:val="32"/>
        </w:rPr>
        <w:t>，以</w:t>
      </w:r>
      <w:r>
        <w:rPr>
          <w:rFonts w:hint="eastAsia" w:ascii="仿宋_GB2312" w:hAnsi="仿宋_GB2312" w:eastAsia="仿宋_GB2312" w:cs="仿宋_GB2312"/>
          <w:color w:val="000000"/>
          <w:sz w:val="32"/>
          <w:szCs w:val="32"/>
        </w:rPr>
        <w:t>美国、荷兰、法国、德国、加拿大、意大利、巴西、马来西亚、阿联酋、日本等国家</w:t>
      </w:r>
      <w:r>
        <w:rPr>
          <w:rFonts w:ascii="仿宋_GB2312" w:hAnsi="仿宋_GB2312" w:eastAsia="仿宋_GB2312" w:cs="仿宋_GB2312"/>
          <w:color w:val="000000"/>
          <w:sz w:val="32"/>
          <w:szCs w:val="32"/>
        </w:rPr>
        <w:t>为重点，改造提升传统外贸产业，推进</w:t>
      </w:r>
      <w:r>
        <w:rPr>
          <w:rFonts w:hint="eastAsia" w:ascii="仿宋_GB2312" w:hAnsi="仿宋_GB2312" w:eastAsia="仿宋_GB2312" w:cs="仿宋_GB2312"/>
          <w:color w:val="000000"/>
          <w:sz w:val="32"/>
          <w:szCs w:val="32"/>
        </w:rPr>
        <w:t>厨具和农产品加工从</w:t>
      </w:r>
      <w:r>
        <w:rPr>
          <w:rFonts w:ascii="仿宋_GB2312" w:hAnsi="仿宋_GB2312" w:eastAsia="仿宋_GB2312" w:cs="仿宋_GB2312"/>
          <w:color w:val="000000"/>
          <w:sz w:val="32"/>
          <w:szCs w:val="32"/>
        </w:rPr>
        <w:t>加工贸易向</w:t>
      </w:r>
      <w:r>
        <w:rPr>
          <w:rFonts w:hint="eastAsia" w:ascii="仿宋_GB2312" w:hAnsi="仿宋_GB2312" w:eastAsia="仿宋_GB2312" w:cs="仿宋_GB2312"/>
          <w:color w:val="000000"/>
          <w:sz w:val="32"/>
          <w:szCs w:val="32"/>
        </w:rPr>
        <w:t>新产品</w:t>
      </w:r>
      <w:r>
        <w:rPr>
          <w:rFonts w:ascii="仿宋_GB2312" w:hAnsi="仿宋_GB2312" w:eastAsia="仿宋_GB2312" w:cs="仿宋_GB2312"/>
          <w:color w:val="000000"/>
          <w:sz w:val="32"/>
          <w:szCs w:val="32"/>
        </w:rPr>
        <w:t>研发设计领域拓展。扩大商品和服务进口，重点加大对先进技术、关键设备和零部件等进口力度</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支持有实力的企业开拓</w:t>
      </w:r>
      <w:r>
        <w:rPr>
          <w:rFonts w:hint="eastAsia" w:ascii="仿宋_GB2312" w:hAnsi="仿宋_GB2312" w:eastAsia="仿宋_GB2312" w:cs="仿宋_GB2312"/>
          <w:color w:val="000000"/>
          <w:sz w:val="32"/>
          <w:szCs w:val="32"/>
        </w:rPr>
        <w:t>“一带一路”沿线</w:t>
      </w:r>
      <w:r>
        <w:rPr>
          <w:rFonts w:ascii="仿宋_GB2312" w:hAnsi="仿宋_GB2312" w:eastAsia="仿宋_GB2312" w:cs="仿宋_GB2312"/>
          <w:color w:val="000000"/>
          <w:sz w:val="32"/>
          <w:szCs w:val="32"/>
        </w:rPr>
        <w:t>国家</w:t>
      </w:r>
      <w:r>
        <w:rPr>
          <w:rFonts w:hint="eastAsia" w:ascii="仿宋_GB2312" w:hAnsi="仿宋_GB2312" w:eastAsia="仿宋_GB2312" w:cs="仿宋_GB2312"/>
          <w:color w:val="000000"/>
          <w:sz w:val="32"/>
          <w:szCs w:val="32"/>
        </w:rPr>
        <w:t>市场</w:t>
      </w:r>
      <w:r>
        <w:rPr>
          <w:rFonts w:ascii="仿宋_GB2312" w:hAnsi="仿宋_GB2312" w:eastAsia="仿宋_GB2312" w:cs="仿宋_GB2312"/>
          <w:color w:val="000000"/>
          <w:sz w:val="32"/>
          <w:szCs w:val="32"/>
        </w:rPr>
        <w:t>，扩大合作</w:t>
      </w:r>
      <w:r>
        <w:rPr>
          <w:rFonts w:hint="eastAsia" w:ascii="仿宋_GB2312" w:hAnsi="仿宋_GB2312" w:eastAsia="仿宋_GB2312" w:cs="仿宋_GB2312"/>
          <w:color w:val="000000"/>
          <w:sz w:val="32"/>
          <w:szCs w:val="32"/>
        </w:rPr>
        <w:t>领域</w:t>
      </w:r>
      <w:r>
        <w:rPr>
          <w:rFonts w:ascii="仿宋_GB2312" w:hAnsi="仿宋_GB2312" w:eastAsia="仿宋_GB2312" w:cs="仿宋_GB2312"/>
          <w:color w:val="000000"/>
          <w:sz w:val="32"/>
          <w:szCs w:val="32"/>
        </w:rPr>
        <w:t>，深度嵌入并拓展多元化国际产业链供应链。</w:t>
      </w:r>
      <w:r>
        <w:rPr>
          <w:rFonts w:hint="eastAsia" w:ascii="仿宋_GB2312" w:hAnsi="仿宋_GB2312" w:eastAsia="仿宋_GB2312" w:cs="仿宋_GB2312"/>
          <w:color w:val="000000"/>
          <w:sz w:val="32"/>
          <w:szCs w:val="32"/>
        </w:rPr>
        <w:t>充分利用各类电子商务平台开展进出口业务。</w:t>
      </w:r>
    </w:p>
    <w:p>
      <w:pPr>
        <w:pStyle w:val="43"/>
        <w:spacing w:afterLines="50" w:line="600" w:lineRule="exact"/>
        <w:rPr>
          <w:b/>
          <w:bCs/>
          <w:color w:val="000000"/>
          <w:sz w:val="36"/>
          <w:szCs w:val="36"/>
        </w:rPr>
      </w:pPr>
      <w:bookmarkStart w:id="387" w:name="_Toc62991871"/>
      <w:bookmarkStart w:id="388" w:name="_Toc22661"/>
      <w:r>
        <w:rPr>
          <w:rFonts w:hint="eastAsia"/>
          <w:b/>
          <w:bCs/>
          <w:color w:val="000000"/>
          <w:sz w:val="36"/>
          <w:szCs w:val="36"/>
        </w:rPr>
        <w:t>第四节  搭建合作“软平台”</w:t>
      </w:r>
      <w:bookmarkEnd w:id="387"/>
      <w:bookmarkEnd w:id="388"/>
    </w:p>
    <w:p>
      <w:pPr>
        <w:pStyle w:val="27"/>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承办大型会议、展览、论坛、文化交流等活动，鼓励各类群团组织和民间组织加强对外交流。不断创新结对帮扶方式方法，从以资金、项目援助为主逐步转向科技、人才、管理援助和合作，主动与高校、孵化基地、科研院所、高新技术企业对接合作，建立科技攻关、创新体系等领域的交流机制，推动高端科技创新成果在郏县转化，形成技术帮扶、联合攻关、开放合作的高端“软平台”。</w:t>
      </w:r>
    </w:p>
    <w:p>
      <w:pPr>
        <w:pStyle w:val="41"/>
        <w:spacing w:beforeLines="100" w:afterLines="100" w:line="600" w:lineRule="exact"/>
        <w:rPr>
          <w:rFonts w:hint="eastAsia" w:ascii="方正小标宋_GBK" w:hAnsi="方正小标宋_GBK" w:eastAsia="方正小标宋_GBK" w:cs="方正小标宋_GBK"/>
          <w:b w:val="0"/>
          <w:color w:val="000000"/>
          <w:sz w:val="32"/>
          <w:szCs w:val="32"/>
        </w:rPr>
      </w:pPr>
      <w:bookmarkStart w:id="389" w:name="_Toc62991872"/>
      <w:bookmarkStart w:id="390" w:name="_Toc29338"/>
      <w:r>
        <w:rPr>
          <w:rFonts w:hint="eastAsia" w:ascii="方正小标宋_GBK" w:hAnsi="方正小标宋_GBK" w:eastAsia="方正小标宋_GBK" w:cs="方正小标宋_GBK"/>
          <w:b w:val="0"/>
          <w:color w:val="000000"/>
          <w:sz w:val="32"/>
          <w:szCs w:val="32"/>
        </w:rPr>
        <w:t>第十二篇  统筹发展和安全，加快建设平安郏县</w:t>
      </w:r>
      <w:bookmarkEnd w:id="389"/>
      <w:bookmarkEnd w:id="390"/>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按照社会治理现代化目标，构建党委领导、政府主导、法治保障、科技支撑、社会各方广泛参与的社会治理体系。坚持总体国家安</w:t>
      </w:r>
      <w:r>
        <w:rPr>
          <w:rFonts w:hint="eastAsia" w:ascii="仿宋_GB2312" w:hAnsi="仿宋_GB2312" w:eastAsia="仿宋_GB2312" w:cs="仿宋_GB2312"/>
          <w:color w:val="000000"/>
          <w:spacing w:val="-6"/>
          <w:sz w:val="32"/>
          <w:szCs w:val="32"/>
        </w:rPr>
        <w:t>全观，把安全发展贯穿发展各领</w:t>
      </w:r>
      <w:r>
        <w:rPr>
          <w:rFonts w:hint="eastAsia" w:ascii="仿宋_GB2312" w:hAnsi="仿宋_GB2312" w:eastAsia="仿宋_GB2312" w:cs="仿宋_GB2312"/>
          <w:color w:val="000000"/>
          <w:sz w:val="32"/>
          <w:szCs w:val="32"/>
        </w:rPr>
        <w:t>域和全过程，防范和化解重大风险，筑牢安全屏障。</w:t>
      </w:r>
    </w:p>
    <w:p>
      <w:pPr>
        <w:pStyle w:val="42"/>
        <w:spacing w:beforeLines="50" w:afterLines="50" w:line="600" w:lineRule="exact"/>
        <w:rPr>
          <w:b w:val="0"/>
          <w:bCs/>
          <w:color w:val="000000"/>
          <w:szCs w:val="32"/>
        </w:rPr>
      </w:pPr>
      <w:bookmarkStart w:id="391" w:name="_Toc62991873"/>
      <w:bookmarkStart w:id="392" w:name="_Toc26609"/>
      <w:r>
        <w:rPr>
          <w:rFonts w:hint="eastAsia"/>
          <w:b w:val="0"/>
          <w:bCs/>
          <w:color w:val="000000"/>
          <w:szCs w:val="32"/>
        </w:rPr>
        <w:t>第一章  建设现代化社会治理体系</w:t>
      </w:r>
      <w:bookmarkEnd w:id="391"/>
      <w:bookmarkEnd w:id="392"/>
    </w:p>
    <w:p>
      <w:pPr>
        <w:pStyle w:val="27"/>
        <w:spacing w:line="600" w:lineRule="exact"/>
        <w:ind w:firstLine="640" w:firstLineChars="200"/>
        <w:rPr>
          <w:rFonts w:ascii="仿宋_GB2312" w:hAnsi="仿宋_GB2312" w:eastAsia="仿宋_GB2312" w:cs="仿宋_GB2312"/>
          <w:color w:val="000000"/>
          <w:sz w:val="32"/>
          <w:szCs w:val="32"/>
        </w:rPr>
      </w:pPr>
      <w:bookmarkStart w:id="393" w:name="_Toc62991874"/>
      <w:r>
        <w:rPr>
          <w:rFonts w:hint="eastAsia" w:ascii="仿宋_GB2312" w:hAnsi="仿宋_GB2312" w:eastAsia="仿宋_GB2312" w:cs="仿宋_GB2312"/>
          <w:color w:val="000000"/>
          <w:sz w:val="32"/>
          <w:szCs w:val="32"/>
        </w:rPr>
        <w:t>坚持和完善共建共治共享的社会治理制度，夯实基层基础、推动社会治理体系创新，提升社会治理的社会化、法治化、智能化、专业化水平，营造和谐稳定的社会环境。</w:t>
      </w:r>
    </w:p>
    <w:p>
      <w:pPr>
        <w:pStyle w:val="43"/>
        <w:spacing w:afterLines="50" w:line="600" w:lineRule="exact"/>
        <w:rPr>
          <w:b/>
          <w:bCs/>
          <w:color w:val="000000"/>
          <w:sz w:val="36"/>
          <w:szCs w:val="36"/>
        </w:rPr>
      </w:pPr>
      <w:bookmarkStart w:id="394" w:name="_Toc4761"/>
      <w:r>
        <w:rPr>
          <w:rFonts w:hint="eastAsia"/>
          <w:b/>
          <w:bCs/>
          <w:color w:val="000000"/>
          <w:sz w:val="36"/>
          <w:szCs w:val="36"/>
        </w:rPr>
        <w:t>第一节  健全基层治理体系</w:t>
      </w:r>
      <w:bookmarkEnd w:id="393"/>
      <w:bookmarkEnd w:id="394"/>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合基层社会治理资源，健全党组织领导的自治、法治、德治相结合的城乡基层治理体系，完善以社区为社会治理基本单元，以提高服务能力和实施有效管理为重点的网格化管理和服务机制，推动社会治理和服务重心向基层下移。健全完善乡村治理体系，建强农村党支部。实施乡村数字化治理体系建设工程，推动“互联网+党建”发展。完善社会矛盾纠纷多元预防调处化解综合机制，努力将矛盾化解在基层。</w:t>
      </w:r>
    </w:p>
    <w:p>
      <w:pPr>
        <w:pStyle w:val="43"/>
        <w:spacing w:beforeLines="50" w:afterLines="50" w:line="600" w:lineRule="exact"/>
        <w:rPr>
          <w:b/>
          <w:bCs/>
          <w:color w:val="000000"/>
          <w:sz w:val="36"/>
          <w:szCs w:val="36"/>
        </w:rPr>
      </w:pPr>
      <w:bookmarkStart w:id="395" w:name="_Toc62991875"/>
      <w:bookmarkStart w:id="396" w:name="_Toc12875"/>
      <w:r>
        <w:rPr>
          <w:rFonts w:hint="eastAsia"/>
          <w:b/>
          <w:bCs/>
          <w:color w:val="000000"/>
          <w:sz w:val="36"/>
          <w:szCs w:val="36"/>
        </w:rPr>
        <w:t>第二节  完善社会矛盾纠纷调节机制</w:t>
      </w:r>
      <w:bookmarkEnd w:id="395"/>
      <w:bookmarkEnd w:id="396"/>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聚焦减少存量、控制增量、防范变量，坚持和发展新时代“枫桥经验”，扎实推进防范调处化解综合机制创新，切实将矛盾风险解决在萌芽状态、化解在基层，实现“小事不出村、大事不出镇、矛盾不上交”。着力防范化解各类重大风险，加强应急管理体系和能力建设。积极发挥社会组织作用，畅通社会组织参与社会事务、社会服务的渠道。</w:t>
      </w:r>
    </w:p>
    <w:p>
      <w:pPr>
        <w:pStyle w:val="42"/>
        <w:spacing w:beforeLines="50" w:afterLines="50" w:line="600" w:lineRule="exact"/>
        <w:rPr>
          <w:b w:val="0"/>
          <w:bCs/>
          <w:color w:val="000000"/>
          <w:szCs w:val="32"/>
        </w:rPr>
      </w:pPr>
      <w:bookmarkStart w:id="397" w:name="_Toc62991876"/>
      <w:bookmarkStart w:id="398" w:name="_Toc29987"/>
      <w:r>
        <w:rPr>
          <w:rFonts w:hint="eastAsia"/>
          <w:b w:val="0"/>
          <w:bCs/>
          <w:color w:val="000000"/>
          <w:szCs w:val="32"/>
        </w:rPr>
        <w:t>第二章 提升安全保障能力</w:t>
      </w:r>
      <w:bookmarkEnd w:id="397"/>
      <w:bookmarkEnd w:id="398"/>
    </w:p>
    <w:p>
      <w:pPr>
        <w:pStyle w:val="27"/>
        <w:spacing w:line="580" w:lineRule="exact"/>
        <w:ind w:firstLine="640" w:firstLineChars="200"/>
        <w:rPr>
          <w:rFonts w:ascii="仿宋_GB2312" w:hAnsi="仿宋_GB2312" w:eastAsia="仿宋_GB2312" w:cs="仿宋_GB2312"/>
          <w:color w:val="000000"/>
          <w:sz w:val="32"/>
          <w:szCs w:val="32"/>
        </w:rPr>
      </w:pPr>
      <w:bookmarkStart w:id="399" w:name="_Toc62991877"/>
      <w:r>
        <w:rPr>
          <w:rFonts w:hint="eastAsia" w:ascii="仿宋_GB2312" w:hAnsi="仿宋_GB2312" w:eastAsia="仿宋_GB2312" w:cs="仿宋_GB2312"/>
          <w:color w:val="000000"/>
          <w:sz w:val="32"/>
          <w:szCs w:val="32"/>
        </w:rPr>
        <w:t>牢固树立安全发展理念，坚持预防预备与应急处突相结合，建立健全重大风险研判、防控协同、防范化解机制，提升社会经济安全发展能力。</w:t>
      </w:r>
    </w:p>
    <w:p>
      <w:pPr>
        <w:pStyle w:val="43"/>
        <w:spacing w:afterLines="50" w:line="600" w:lineRule="exact"/>
        <w:rPr>
          <w:b/>
          <w:bCs/>
          <w:color w:val="000000"/>
          <w:sz w:val="36"/>
          <w:szCs w:val="36"/>
        </w:rPr>
      </w:pPr>
      <w:bookmarkStart w:id="400" w:name="_Toc1025"/>
      <w:r>
        <w:rPr>
          <w:rFonts w:hint="eastAsia"/>
          <w:b/>
          <w:bCs/>
          <w:color w:val="000000"/>
          <w:sz w:val="36"/>
          <w:szCs w:val="36"/>
        </w:rPr>
        <w:t>第一节  切实保障公共安全</w:t>
      </w:r>
      <w:bookmarkEnd w:id="399"/>
      <w:bookmarkEnd w:id="400"/>
    </w:p>
    <w:p>
      <w:pPr>
        <w:pStyle w:val="27"/>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公共安全隐患排查和安全预防控制体系，把好公共安全风险源头关、监测关、管控关，筑牢全方位、立体化的公共安全网。完善和落实安全生产责任制，加强危险化学品、建筑施工、交通、校园、医院、工业园区和旅游景区等领域安全监管，有效防范和坚决遏制重特大安全事故发生。提高食品药品安全保障水平，加强疫苗监管，坚守生命安全红线和健康底线。加强自然灾害防范应对，强化城市运行安全保障。完善应急管理体系，加强应急管理信息化建设，强化综合管理协调机制，建立健全各类应急管理救援队伍和物资保障体系，深化、细化各项应急预案，积极推进应急管理和能力现代化。</w:t>
      </w:r>
    </w:p>
    <w:p>
      <w:pPr>
        <w:pStyle w:val="43"/>
        <w:spacing w:afterLines="50" w:line="600" w:lineRule="exact"/>
        <w:rPr>
          <w:b/>
          <w:bCs/>
          <w:color w:val="000000"/>
          <w:sz w:val="36"/>
          <w:szCs w:val="36"/>
        </w:rPr>
      </w:pPr>
      <w:bookmarkStart w:id="401" w:name="_Toc62991878"/>
      <w:bookmarkStart w:id="402" w:name="_Toc22946"/>
      <w:r>
        <w:rPr>
          <w:rFonts w:hint="eastAsia"/>
          <w:b/>
          <w:bCs/>
          <w:color w:val="000000"/>
          <w:sz w:val="36"/>
          <w:szCs w:val="36"/>
        </w:rPr>
        <w:t>第二节  维护社会安全稳定</w:t>
      </w:r>
      <w:bookmarkEnd w:id="401"/>
      <w:bookmarkEnd w:id="402"/>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系统治理、依法治理、综合治理、源头治理，健全点线面结合、网上网下结合、人防物防技防结合、打防管控结合的立体化社会治安防控体系。推动扫黑除恶常治常效，防范和打击暴力恐怖、黑恶势力、新型网络犯罪和毒品犯罪，营造安全稳定的社会环境。强化信息资源深度整合应用，充分运用新一代信息技术、物联网、大数据、云计算和智能传感、遥感、卫星定位、地理信息系统等技术，创新社会治安防控手段，提升公共安全管理数字化、网络化、智能化水平，增强主动预防和打击犯罪的能力。</w:t>
      </w:r>
    </w:p>
    <w:p>
      <w:pPr>
        <w:pStyle w:val="43"/>
        <w:spacing w:beforeLines="50" w:afterLines="50" w:line="600" w:lineRule="exact"/>
        <w:rPr>
          <w:b/>
          <w:bCs/>
          <w:color w:val="000000"/>
          <w:sz w:val="36"/>
          <w:szCs w:val="36"/>
        </w:rPr>
      </w:pPr>
      <w:bookmarkStart w:id="403" w:name="_Toc62991879"/>
      <w:bookmarkStart w:id="404" w:name="_Toc30913"/>
      <w:r>
        <w:rPr>
          <w:rFonts w:hint="eastAsia"/>
          <w:b/>
          <w:bCs/>
          <w:color w:val="000000"/>
          <w:sz w:val="36"/>
          <w:szCs w:val="36"/>
        </w:rPr>
        <w:t>第三节  突出抓好经济安全</w:t>
      </w:r>
      <w:bookmarkEnd w:id="403"/>
      <w:bookmarkEnd w:id="404"/>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经济安全风险预警、防控机制和能力建设，确保重要产业、科技、基础设施、战略资源等关键领域安全可控。维护金融安全，健全完善金融风险防控体系，守住不发生系统性风险底线。坚决维护粮食安全，全面加强粮食生产、储备和流通能力建设，增强粮食安全保障能力。维护水利、电力、供水、油气、交通、通信、网络、金融等重要基础设施安全，保障能源安全，提高水资源集约安全利用水平。</w:t>
      </w:r>
    </w:p>
    <w:p>
      <w:pPr>
        <w:pStyle w:val="43"/>
        <w:spacing w:beforeLines="50" w:afterLines="50" w:line="600" w:lineRule="exact"/>
        <w:rPr>
          <w:rFonts w:hint="eastAsia"/>
          <w:b/>
          <w:bCs/>
          <w:color w:val="000000"/>
          <w:sz w:val="36"/>
          <w:szCs w:val="36"/>
        </w:rPr>
      </w:pPr>
      <w:bookmarkStart w:id="405" w:name="_Toc62991880"/>
      <w:bookmarkStart w:id="406" w:name="_Toc1871"/>
      <w:r>
        <w:rPr>
          <w:rFonts w:hint="eastAsia"/>
          <w:b/>
          <w:bCs/>
          <w:color w:val="000000"/>
          <w:sz w:val="36"/>
          <w:szCs w:val="36"/>
        </w:rPr>
        <w:t xml:space="preserve">第四节 </w:t>
      </w:r>
      <w:r>
        <w:rPr>
          <w:b/>
          <w:bCs/>
          <w:color w:val="000000"/>
          <w:sz w:val="36"/>
          <w:szCs w:val="36"/>
        </w:rPr>
        <w:t xml:space="preserve"> </w:t>
      </w:r>
      <w:bookmarkEnd w:id="405"/>
      <w:r>
        <w:rPr>
          <w:rFonts w:hint="eastAsia"/>
          <w:b/>
          <w:bCs/>
          <w:color w:val="000000"/>
          <w:sz w:val="36"/>
          <w:szCs w:val="36"/>
        </w:rPr>
        <w:t>提升国防动员能力</w:t>
      </w:r>
      <w:bookmarkEnd w:id="406"/>
    </w:p>
    <w:p>
      <w:pPr>
        <w:pStyle w:val="27"/>
        <w:spacing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国防建设与经济建设协调发展的方针，抓经济建设不忘国防，在经济建设中统筹国防建设。紧贴未来作战需要，加强国防动员能力建设，明晰指挥权责，规范国防动员指挥机构编成，完善指挥手段。强化党管武装、编实建强队伍、优化布局结构，健全制度机制，重点建设民兵应急队伍，突出抓好新质民兵力量，推动郏县民兵建设由“实起来”向“用起来”“强起来”跃升。开展全民国防教育，健全完善领导体制和工作机制，继续推进国防教育进校园、进课堂、进教材，广泛深入开展国防教育主题群众性活动。加强双拥工作，深入开展拥军优属和拥政爱民活动。突出军民融合发展，全面推进经济、科技、教育、人才等领域的军民融合，为实现国防和军队现代化提供丰厚的资源支持，为实现强军梦做出贡献。</w:t>
      </w:r>
    </w:p>
    <w:tbl>
      <w:tblPr>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c>
          <w:tcPr>
            <w:tcW w:w="8522" w:type="dxa"/>
            <w:vAlign w:val="center"/>
          </w:tcPr>
          <w:p>
            <w:pPr>
              <w:adjustRightInd w:val="0"/>
              <w:snapToGrid w:val="0"/>
              <w:spacing w:line="600" w:lineRule="exact"/>
              <w:jc w:val="center"/>
              <w:rPr>
                <w:rFonts w:eastAsia="黑体"/>
                <w:color w:val="000000"/>
                <w:szCs w:val="21"/>
              </w:rPr>
            </w:pPr>
            <w:r>
              <w:rPr>
                <w:rFonts w:hint="eastAsia" w:ascii="仿宋_GB2312" w:hAnsi="楷体" w:eastAsia="仿宋_GB2312" w:cs="仿宋"/>
                <w:b/>
                <w:bCs/>
                <w:color w:val="000000"/>
                <w:kern w:val="0"/>
                <w:sz w:val="24"/>
              </w:rPr>
              <w:t>专栏25：应急管理重点项目</w:t>
            </w:r>
          </w:p>
        </w:tc>
      </w:tr>
      <w:tr>
        <w:trPr>
          <w:trHeight w:val="908" w:hRule="atLeast"/>
        </w:trPr>
        <w:tc>
          <w:tcPr>
            <w:tcW w:w="8522" w:type="dxa"/>
            <w:vAlign w:val="top"/>
          </w:tcPr>
          <w:p>
            <w:pPr>
              <w:widowControl/>
              <w:wordWrap/>
              <w:adjustRightInd/>
              <w:snapToGrid/>
              <w:spacing w:line="400" w:lineRule="exact"/>
              <w:ind w:firstLine="482" w:firstLineChars="200"/>
              <w:textAlignment w:val="auto"/>
              <w:rPr>
                <w:color w:val="000000"/>
                <w:sz w:val="32"/>
                <w:szCs w:val="32"/>
              </w:rPr>
            </w:pPr>
            <w:r>
              <w:rPr>
                <w:rFonts w:hint="eastAsia" w:ascii="仿宋_GB2312" w:hAnsi="楷体" w:eastAsia="仿宋_GB2312" w:cs="仿宋"/>
                <w:b/>
                <w:color w:val="000000"/>
                <w:kern w:val="0"/>
                <w:sz w:val="24"/>
                <w:lang w:val="en-US" w:eastAsia="zh-CN"/>
              </w:rPr>
              <w:t>实施</w:t>
            </w:r>
            <w:r>
              <w:rPr>
                <w:rFonts w:hint="eastAsia" w:ascii="仿宋_GB2312" w:hAnsi="楷体" w:eastAsia="仿宋_GB2312" w:cs="仿宋"/>
                <w:b/>
                <w:color w:val="000000"/>
                <w:kern w:val="0"/>
                <w:sz w:val="24"/>
              </w:rPr>
              <w:t>基层应急救援教育基地和应急物资储备库项目</w:t>
            </w:r>
            <w:r>
              <w:rPr>
                <w:rFonts w:hint="eastAsia" w:ascii="仿宋_GB2312" w:hAnsi="楷体" w:eastAsia="仿宋_GB2312" w:cs="仿宋"/>
                <w:color w:val="000000"/>
                <w:kern w:val="0"/>
                <w:sz w:val="24"/>
              </w:rPr>
              <w:t>，规划建设应急物资储备库、应急救援教育培训中心、安全文化教育体验基地</w:t>
            </w:r>
            <w:r>
              <w:rPr>
                <w:rFonts w:hint="eastAsia" w:ascii="仿宋_GB2312" w:hAnsi="楷体" w:eastAsia="仿宋_GB2312" w:cs="仿宋"/>
                <w:color w:val="000000"/>
                <w:kern w:val="0"/>
                <w:sz w:val="24"/>
                <w:lang w:val="en-US" w:eastAsia="zh-CN"/>
              </w:rPr>
              <w:t>等</w:t>
            </w:r>
            <w:r>
              <w:rPr>
                <w:rFonts w:hint="eastAsia" w:ascii="仿宋_GB2312" w:hAnsi="楷体" w:eastAsia="仿宋_GB2312" w:cs="仿宋"/>
                <w:color w:val="000000"/>
                <w:kern w:val="0"/>
                <w:sz w:val="24"/>
              </w:rPr>
              <w:t>。</w:t>
            </w:r>
          </w:p>
        </w:tc>
      </w:tr>
    </w:tbl>
    <w:p>
      <w:pPr>
        <w:pStyle w:val="42"/>
        <w:spacing w:beforeLines="50" w:afterLines="50" w:line="600" w:lineRule="exact"/>
        <w:rPr>
          <w:b w:val="0"/>
          <w:bCs/>
          <w:color w:val="000000"/>
          <w:szCs w:val="32"/>
        </w:rPr>
      </w:pPr>
      <w:bookmarkStart w:id="407" w:name="_Toc11552"/>
      <w:bookmarkStart w:id="408" w:name="_Toc56490957"/>
      <w:bookmarkStart w:id="409" w:name="_Toc3434"/>
      <w:bookmarkStart w:id="410" w:name="_Toc62991881"/>
      <w:bookmarkStart w:id="411" w:name="_Toc29721"/>
      <w:r>
        <w:rPr>
          <w:rFonts w:hint="eastAsia"/>
          <w:b w:val="0"/>
          <w:bCs/>
          <w:color w:val="000000"/>
          <w:szCs w:val="32"/>
        </w:rPr>
        <w:t xml:space="preserve">第三章  </w:t>
      </w:r>
      <w:bookmarkEnd w:id="407"/>
      <w:bookmarkEnd w:id="408"/>
      <w:bookmarkEnd w:id="409"/>
      <w:r>
        <w:rPr>
          <w:rFonts w:hint="eastAsia"/>
          <w:b w:val="0"/>
          <w:bCs/>
          <w:color w:val="000000"/>
          <w:szCs w:val="32"/>
        </w:rPr>
        <w:t>加强民主法治建设</w:t>
      </w:r>
      <w:bookmarkEnd w:id="410"/>
      <w:bookmarkEnd w:id="411"/>
    </w:p>
    <w:p>
      <w:pPr>
        <w:pStyle w:val="27"/>
        <w:spacing w:line="600" w:lineRule="exact"/>
        <w:ind w:firstLine="640"/>
        <w:rPr>
          <w:rFonts w:ascii="仿宋_GB2312" w:hAnsi="仿宋_GB2312" w:eastAsia="仿宋_GB2312" w:cs="仿宋_GB2312"/>
          <w:color w:val="000000"/>
          <w:sz w:val="32"/>
          <w:szCs w:val="32"/>
        </w:rPr>
      </w:pPr>
      <w:bookmarkStart w:id="412" w:name="_Toc62991882"/>
      <w:r>
        <w:rPr>
          <w:rFonts w:hint="eastAsia" w:ascii="仿宋_GB2312" w:hAnsi="仿宋_GB2312" w:eastAsia="仿宋_GB2312" w:cs="仿宋_GB2312"/>
          <w:color w:val="000000"/>
          <w:sz w:val="32"/>
          <w:szCs w:val="32"/>
        </w:rPr>
        <w:t>推进社会主义民主法治建设，发展人民民主，深化依法治县实践，实现社会公平正义，促进社会和谐进步。</w:t>
      </w:r>
    </w:p>
    <w:p>
      <w:pPr>
        <w:pStyle w:val="43"/>
        <w:spacing w:afterLines="50" w:line="600" w:lineRule="exact"/>
        <w:rPr>
          <w:b/>
          <w:bCs/>
          <w:color w:val="000000"/>
          <w:sz w:val="36"/>
          <w:szCs w:val="36"/>
        </w:rPr>
      </w:pPr>
      <w:bookmarkStart w:id="413" w:name="_Toc4046"/>
      <w:r>
        <w:rPr>
          <w:rFonts w:hint="eastAsia"/>
          <w:b/>
          <w:bCs/>
          <w:color w:val="000000"/>
          <w:sz w:val="36"/>
          <w:szCs w:val="36"/>
        </w:rPr>
        <w:t>第一节  发展社会主义民主政治</w:t>
      </w:r>
      <w:bookmarkEnd w:id="412"/>
      <w:bookmarkEnd w:id="413"/>
    </w:p>
    <w:p>
      <w:pPr>
        <w:pStyle w:val="27"/>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党的领导、人民当家作主、依法治县有机统一，坚持和完善人民代表大会制度，支持和保障人大及其常委会依法行使职权，加强人大对“一府一委两院”的监督，保障人民依法通过各种途径和形式管理国家事务、管理经济文化事业、管理社会事务。坚持和完善中国共产党领导的多党合作和政治协商制度，加强人民政协专门协商机构建设，提高建言资政和凝聚共识水平。健全基层党组织领导的基层群众自治机制，推进基层直接民主制度化、规范化、程序化，注重发挥工会、</w:t>
      </w:r>
      <w:r>
        <w:rPr>
          <w:rFonts w:hint="eastAsia" w:ascii="仿宋_GB2312" w:hAnsi="仿宋_GB2312" w:eastAsia="仿宋_GB2312" w:cs="仿宋_GB2312"/>
          <w:color w:val="000000"/>
          <w:sz w:val="32"/>
          <w:szCs w:val="32"/>
          <w:lang w:val="en-US" w:eastAsia="zh-CN"/>
        </w:rPr>
        <w:t>共</w:t>
      </w:r>
      <w:r>
        <w:rPr>
          <w:rFonts w:hint="eastAsia" w:ascii="仿宋_GB2312" w:hAnsi="仿宋_GB2312" w:eastAsia="仿宋_GB2312" w:cs="仿宋_GB2312"/>
          <w:color w:val="000000"/>
          <w:sz w:val="32"/>
          <w:szCs w:val="32"/>
        </w:rPr>
        <w:t>青团、妇联等群团组织的作用。巩固和发展最广泛的爱国统一战线，认真落实党的知识分子、民族、宗教、侨务等政策，充分发挥民主党派、工商联和无党派人士作用，最大限度凝聚全社会共同力量，推进改革发展，维护社会和谐稳定。</w:t>
      </w:r>
    </w:p>
    <w:p>
      <w:pPr>
        <w:pStyle w:val="43"/>
        <w:spacing w:beforeLines="50" w:afterLines="50" w:line="600" w:lineRule="exact"/>
        <w:rPr>
          <w:b/>
          <w:bCs/>
          <w:color w:val="000000"/>
          <w:sz w:val="36"/>
          <w:szCs w:val="36"/>
        </w:rPr>
      </w:pPr>
      <w:bookmarkStart w:id="414" w:name="_Toc62991883"/>
      <w:bookmarkStart w:id="415" w:name="_Toc21540"/>
      <w:r>
        <w:rPr>
          <w:rFonts w:hint="eastAsia"/>
          <w:b/>
          <w:bCs/>
          <w:color w:val="000000"/>
          <w:sz w:val="36"/>
          <w:szCs w:val="36"/>
        </w:rPr>
        <w:t xml:space="preserve">第二节 </w:t>
      </w:r>
      <w:r>
        <w:rPr>
          <w:b/>
          <w:bCs/>
          <w:color w:val="000000"/>
          <w:sz w:val="36"/>
          <w:szCs w:val="36"/>
        </w:rPr>
        <w:t xml:space="preserve"> </w:t>
      </w:r>
      <w:r>
        <w:rPr>
          <w:rFonts w:hint="eastAsia"/>
          <w:b/>
          <w:bCs/>
          <w:color w:val="000000"/>
          <w:sz w:val="36"/>
          <w:szCs w:val="36"/>
        </w:rPr>
        <w:t>全面推进依法治县</w:t>
      </w:r>
      <w:bookmarkEnd w:id="414"/>
      <w:bookmarkEnd w:id="415"/>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快建设“法治郏县”，统筹做好司法、执法、普法工作。健全行政监督和问责制度，加强监察、审计工作。建立权责明确、相互配合、相互制约、高效运行的司法体系。加强行政机关法制机构和队伍建设。完善法律服务体系，强化法制宣传教育。</w:t>
      </w:r>
    </w:p>
    <w:p>
      <w:pPr>
        <w:pStyle w:val="41"/>
        <w:spacing w:beforeLines="100" w:afterLines="100" w:line="600" w:lineRule="exact"/>
        <w:rPr>
          <w:rFonts w:ascii="方正小标宋简体" w:hAnsi="黑体" w:eastAsia="方正小标宋简体"/>
          <w:b w:val="0"/>
          <w:color w:val="000000"/>
          <w:sz w:val="32"/>
          <w:szCs w:val="32"/>
        </w:rPr>
      </w:pPr>
      <w:bookmarkStart w:id="416" w:name="_Toc62991884"/>
      <w:bookmarkStart w:id="417" w:name="_Toc18355"/>
      <w:r>
        <w:rPr>
          <w:rFonts w:hint="eastAsia" w:ascii="方正小标宋_GBK" w:hAnsi="方正小标宋_GBK" w:eastAsia="方正小标宋_GBK" w:cs="方正小标宋_GBK"/>
          <w:b w:val="0"/>
          <w:color w:val="000000"/>
          <w:sz w:val="32"/>
          <w:szCs w:val="32"/>
        </w:rPr>
        <w:t>第十三篇  凝心聚力，</w:t>
      </w:r>
      <w:bookmarkEnd w:id="416"/>
      <w:r>
        <w:rPr>
          <w:rFonts w:hint="eastAsia" w:ascii="方正小标宋_GBK" w:hAnsi="方正小标宋_GBK" w:eastAsia="方正小标宋_GBK" w:cs="方正小标宋_GBK"/>
          <w:b w:val="0"/>
          <w:color w:val="000000"/>
          <w:sz w:val="32"/>
          <w:szCs w:val="32"/>
        </w:rPr>
        <w:t>奋力构筑高质量发展新蓝图</w:t>
      </w:r>
      <w:bookmarkEnd w:id="417"/>
    </w:p>
    <w:p>
      <w:pPr>
        <w:spacing w:line="600" w:lineRule="exact"/>
        <w:ind w:firstLine="640" w:firstLineChars="200"/>
        <w:rPr>
          <w:rFonts w:ascii="仿宋_GB2312" w:hAnsi="仿宋_GB2312" w:eastAsia="仿宋_GB2312" w:cs="仿宋_GB2312"/>
          <w:color w:val="000000"/>
          <w:sz w:val="32"/>
          <w:szCs w:val="32"/>
        </w:rPr>
      </w:pPr>
      <w:bookmarkStart w:id="418" w:name="_Toc32315"/>
      <w:r>
        <w:rPr>
          <w:rFonts w:hint="eastAsia" w:ascii="仿宋_GB2312" w:hAnsi="仿宋_GB2312" w:eastAsia="仿宋_GB2312" w:cs="仿宋_GB2312"/>
          <w:color w:val="000000"/>
          <w:sz w:val="32"/>
          <w:szCs w:val="32"/>
        </w:rPr>
        <w:t>坚持在中国共产党的领导下，更好履行政府职责，最大限度激发全社会的积极性、主动性和创造性，形成保障“十四五”规划有效实施的强大合力。</w:t>
      </w:r>
    </w:p>
    <w:p>
      <w:pPr>
        <w:pStyle w:val="42"/>
        <w:spacing w:beforeLines="50" w:afterLines="50" w:line="600" w:lineRule="exact"/>
        <w:rPr>
          <w:b w:val="0"/>
          <w:bCs/>
          <w:color w:val="000000"/>
          <w:szCs w:val="32"/>
        </w:rPr>
      </w:pPr>
      <w:bookmarkStart w:id="419" w:name="_Toc62991885"/>
      <w:bookmarkStart w:id="420" w:name="_Toc22146"/>
      <w:r>
        <w:rPr>
          <w:rFonts w:hint="eastAsia"/>
          <w:b w:val="0"/>
          <w:bCs/>
          <w:color w:val="000000"/>
          <w:szCs w:val="32"/>
        </w:rPr>
        <w:t>第一章  坚持和加强党的全面领导</w:t>
      </w:r>
      <w:bookmarkEnd w:id="418"/>
      <w:bookmarkEnd w:id="419"/>
      <w:bookmarkEnd w:id="420"/>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党总揽全局、协调各方，坚持以党的建设高质量推动经济发展高质量，充分发挥党委把方向、管大局、做决策、保落实的作用，完善上下贯通、执行有力的组织体系，提高决策科学化、民主化、法治化水平。落实全面从严治党主体责任、监督责任，持续营造风清气正良好政治生态。加强干部队伍建设，坚持好干部标准，打造一支忠诚干净担当的高素质专业化领导干部队伍。健全干部担当作为的激励机制，完善容错纠</w:t>
      </w:r>
      <w:r>
        <w:rPr>
          <w:rFonts w:hint="eastAsia" w:ascii="仿宋_GB2312" w:hAnsi="仿宋_GB2312" w:eastAsia="仿宋_GB2312" w:cs="仿宋_GB2312"/>
          <w:color w:val="000000"/>
          <w:spacing w:val="-6"/>
          <w:sz w:val="32"/>
          <w:szCs w:val="32"/>
        </w:rPr>
        <w:t>错和澄清保护政策，引导广大干部发扬斗</w:t>
      </w:r>
      <w:r>
        <w:rPr>
          <w:rFonts w:hint="eastAsia" w:ascii="仿宋_GB2312" w:hAnsi="仿宋_GB2312" w:eastAsia="仿宋_GB2312" w:cs="仿宋_GB2312"/>
          <w:color w:val="000000"/>
          <w:sz w:val="32"/>
          <w:szCs w:val="32"/>
        </w:rPr>
        <w:t>争精神、增强斗争本领。完善作风建设长效机制，持续开展形式主义、官僚主义和不作为不担当问题整治，弘扬真抓实干、务求实效的作风。</w:t>
      </w:r>
    </w:p>
    <w:p>
      <w:pPr>
        <w:pStyle w:val="42"/>
        <w:spacing w:beforeLines="50" w:afterLines="50" w:line="600" w:lineRule="exact"/>
        <w:rPr>
          <w:b w:val="0"/>
          <w:bCs/>
          <w:color w:val="000000"/>
          <w:szCs w:val="32"/>
        </w:rPr>
      </w:pPr>
      <w:bookmarkStart w:id="421" w:name="_Toc62991886"/>
      <w:bookmarkStart w:id="422" w:name="_Toc11277"/>
      <w:r>
        <w:rPr>
          <w:rFonts w:hint="eastAsia"/>
          <w:b w:val="0"/>
          <w:bCs/>
          <w:color w:val="000000"/>
          <w:szCs w:val="32"/>
        </w:rPr>
        <w:t>第二章  实施人才</w:t>
      </w:r>
      <w:r>
        <w:rPr>
          <w:b w:val="0"/>
          <w:bCs/>
          <w:color w:val="000000"/>
          <w:szCs w:val="32"/>
        </w:rPr>
        <w:t>振兴战略</w:t>
      </w:r>
      <w:bookmarkEnd w:id="421"/>
      <w:bookmarkEnd w:id="422"/>
    </w:p>
    <w:p>
      <w:pPr>
        <w:pStyle w:val="27"/>
        <w:spacing w:line="600" w:lineRule="exact"/>
        <w:ind w:firstLine="652" w:firstLineChars="200"/>
        <w:rPr>
          <w:rFonts w:ascii="仿宋_GB2312" w:hAnsi="仿宋_GB2312" w:eastAsia="仿宋_GB2312" w:cs="仿宋_GB2312"/>
          <w:color w:val="000000"/>
          <w:spacing w:val="3"/>
          <w:sz w:val="32"/>
          <w:szCs w:val="32"/>
        </w:rPr>
      </w:pPr>
      <w:r>
        <w:rPr>
          <w:rFonts w:hint="eastAsia" w:ascii="仿宋_GB2312" w:hAnsi="仿宋_GB2312" w:eastAsia="仿宋_GB2312" w:cs="仿宋_GB2312"/>
          <w:color w:val="000000"/>
          <w:spacing w:val="3"/>
          <w:sz w:val="32"/>
          <w:szCs w:val="32"/>
        </w:rPr>
        <w:t>实施“人才安郏”工程，坚持以事业留人、以待遇留人、以感情留人、以制度留人，打造优秀人才汇聚地。出台人才强县实施意见，强化财政对人才的投入保障，加强人才小区、专家公寓、教师周转房和保障房建设，全方位落实人才奖励补贴、薪酬待遇、医疗社保、子女入学、居留便利等优惠政策。完善人才引进绿色通道，探索建立多元化人才评价体系，健全完善人才评价激励机制和服务保障体系。深化人才体制改革和政策创新，推动人才建设与产业链、创业链有机衔接，形成更有竞争力的人才制度优势，使</w:t>
      </w:r>
      <w:r>
        <w:rPr>
          <w:rFonts w:ascii="仿宋_GB2312" w:hAnsi="仿宋_GB2312" w:eastAsia="仿宋_GB2312" w:cs="仿宋_GB2312"/>
          <w:color w:val="000000"/>
          <w:spacing w:val="3"/>
          <w:sz w:val="32"/>
          <w:szCs w:val="32"/>
        </w:rPr>
        <w:t>郏县成为优秀人才汇聚地</w:t>
      </w:r>
      <w:r>
        <w:rPr>
          <w:rFonts w:hint="eastAsia" w:ascii="仿宋_GB2312" w:hAnsi="仿宋_GB2312" w:eastAsia="仿宋_GB2312" w:cs="仿宋_GB2312"/>
          <w:color w:val="000000"/>
          <w:spacing w:val="3"/>
          <w:sz w:val="32"/>
          <w:szCs w:val="32"/>
        </w:rPr>
        <w:t>。</w:t>
      </w:r>
    </w:p>
    <w:p>
      <w:pPr>
        <w:pStyle w:val="42"/>
        <w:spacing w:beforeLines="50" w:afterLines="50" w:line="600" w:lineRule="exact"/>
        <w:rPr>
          <w:b w:val="0"/>
          <w:bCs/>
          <w:color w:val="000000"/>
          <w:szCs w:val="32"/>
        </w:rPr>
      </w:pPr>
      <w:bookmarkStart w:id="423" w:name="_Toc62991887"/>
      <w:bookmarkStart w:id="424" w:name="_Toc10800"/>
      <w:r>
        <w:rPr>
          <w:rFonts w:hint="eastAsia"/>
          <w:b w:val="0"/>
          <w:bCs/>
          <w:color w:val="000000"/>
          <w:szCs w:val="32"/>
        </w:rPr>
        <w:t>第三章  完善规划实施机制</w:t>
      </w:r>
      <w:bookmarkEnd w:id="423"/>
      <w:bookmarkEnd w:id="424"/>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中央、省委、市委和县委全会精神，加快制定财政、产业、土地、环保、交通、人口、教育、卫生、体育、社会保障等专项规划，加强专项规划与规划纲要的衔接。强化规划权威性、严肃性，落实规划实施责任，细化明确规划约束性指标和重大战略、重点工程项目、重要改革举措的责任主体和实施进度要求。加强年度计划与规划的衔接，持续完善监测评估制度，强化对规划实施情况的跟踪分析和监测，及时组织对规划实施情况进行中期评估和总结评估，自觉接受人大监督、社会监督、审计监督。</w:t>
      </w:r>
    </w:p>
    <w:p>
      <w:pPr>
        <w:pStyle w:val="42"/>
        <w:spacing w:beforeLines="50" w:afterLines="50" w:line="600" w:lineRule="exact"/>
        <w:rPr>
          <w:b w:val="0"/>
          <w:bCs/>
          <w:color w:val="000000"/>
          <w:szCs w:val="32"/>
        </w:rPr>
      </w:pPr>
      <w:bookmarkStart w:id="425" w:name="_Toc62991888"/>
      <w:bookmarkStart w:id="426" w:name="_Toc25965"/>
      <w:r>
        <w:rPr>
          <w:rFonts w:hint="eastAsia"/>
          <w:b w:val="0"/>
          <w:bCs/>
          <w:color w:val="000000"/>
          <w:szCs w:val="32"/>
        </w:rPr>
        <w:t>第四章  以大项目带动大发展</w:t>
      </w:r>
      <w:bookmarkEnd w:id="425"/>
      <w:bookmarkEnd w:id="426"/>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牢固树立“抓项目就是抓发展”的思想，强化项目建设全过程管理，坚定不移、持之以恒推进项目建设。围绕规划确立的主要目标和战略任务，在基础设施、产业转型、科技创新、民生保障、生态环保等领域组织建设一批重大工程项目，通过谋划一批、开工一批、在建一批、投产一批，努力形成梯</w:t>
      </w:r>
      <w:r>
        <w:rPr>
          <w:rFonts w:hint="eastAsia" w:ascii="仿宋_GB2312" w:hAnsi="仿宋_GB2312" w:eastAsia="仿宋_GB2312" w:cs="仿宋_GB2312"/>
          <w:color w:val="000000"/>
          <w:spacing w:val="-6"/>
          <w:sz w:val="32"/>
          <w:szCs w:val="32"/>
        </w:rPr>
        <w:t>次发展的良好态势。加快全县项目库储备项</w:t>
      </w:r>
      <w:r>
        <w:rPr>
          <w:rFonts w:hint="eastAsia" w:ascii="仿宋_GB2312" w:hAnsi="仿宋_GB2312" w:eastAsia="仿宋_GB2312" w:cs="仿宋_GB2312"/>
          <w:color w:val="000000"/>
          <w:sz w:val="32"/>
          <w:szCs w:val="32"/>
        </w:rPr>
        <w:t>目的论证、申报和实施，力争更多的项目纳入国家、省、市的大盘子，形成渐进发展的良性循环。积极吸引各类社会资金参与重大项目建设，不断拓宽项目建设筹资渠道。强化项目建设责任，完善项目督查检查机制和项目考核评价机制。</w:t>
      </w:r>
    </w:p>
    <w:p>
      <w:pPr>
        <w:pStyle w:val="42"/>
        <w:spacing w:beforeLines="50" w:afterLines="50" w:line="600" w:lineRule="exact"/>
        <w:rPr>
          <w:b w:val="0"/>
          <w:bCs/>
          <w:color w:val="000000"/>
          <w:szCs w:val="32"/>
        </w:rPr>
      </w:pPr>
      <w:bookmarkStart w:id="427" w:name="_Toc62991889"/>
      <w:bookmarkStart w:id="428" w:name="_Toc15608"/>
      <w:r>
        <w:rPr>
          <w:rFonts w:hint="eastAsia"/>
          <w:b w:val="0"/>
          <w:bCs/>
          <w:color w:val="000000"/>
          <w:szCs w:val="32"/>
        </w:rPr>
        <w:t>第五章  不断强化要素保障</w:t>
      </w:r>
      <w:bookmarkEnd w:id="427"/>
      <w:bookmarkEnd w:id="428"/>
    </w:p>
    <w:p>
      <w:pPr>
        <w:pStyle w:val="27"/>
        <w:spacing w:line="600" w:lineRule="exact"/>
        <w:ind w:firstLine="640" w:firstLineChars="200"/>
        <w:rPr>
          <w:rFonts w:ascii="仿宋_GB2312" w:hAnsi="仿宋_GB2312" w:eastAsia="仿宋_GB2312" w:cs="仿宋_GB2312"/>
          <w:color w:val="000000"/>
          <w:spacing w:val="-6"/>
          <w:sz w:val="32"/>
          <w:szCs w:val="32"/>
        </w:rPr>
      </w:pPr>
      <w:bookmarkStart w:id="429" w:name="_Toc30717"/>
      <w:r>
        <w:rPr>
          <w:rFonts w:hint="eastAsia" w:ascii="仿宋_GB2312" w:hAnsi="仿宋_GB2312" w:eastAsia="仿宋_GB2312" w:cs="仿宋_GB2312"/>
          <w:color w:val="000000"/>
          <w:sz w:val="32"/>
          <w:szCs w:val="32"/>
        </w:rPr>
        <w:t>加强财政资金绩效管理，提高财政资金使用效率。积极吸引各类社会资金参与重大项目建设，不断拓宽项目建设筹资渠道。加大“引金入郏”工作力度，发挥金融机构考核“8个体系”作用，提振和激发银行业金融机构支持县域经济发展</w:t>
      </w:r>
      <w:r>
        <w:rPr>
          <w:rFonts w:hint="eastAsia" w:ascii="仿宋_GB2312" w:hAnsi="仿宋_GB2312" w:eastAsia="仿宋_GB2312" w:cs="仿宋_GB2312"/>
          <w:color w:val="000000"/>
          <w:spacing w:val="-6"/>
          <w:sz w:val="32"/>
          <w:szCs w:val="32"/>
        </w:rPr>
        <w:t>信心与积极性。持续提高各类项目节约集约用地水平，统筹用好用地保障政策，实现经济社会发展用地应保尽保及时保。</w:t>
      </w:r>
    </w:p>
    <w:p>
      <w:pPr>
        <w:pStyle w:val="42"/>
        <w:spacing w:beforeLines="50" w:afterLines="50" w:line="600" w:lineRule="exact"/>
        <w:rPr>
          <w:b w:val="0"/>
          <w:bCs/>
          <w:color w:val="000000"/>
          <w:szCs w:val="32"/>
        </w:rPr>
      </w:pPr>
      <w:bookmarkStart w:id="430" w:name="_Toc62991890"/>
      <w:bookmarkStart w:id="431" w:name="_Toc23554"/>
      <w:r>
        <w:rPr>
          <w:rFonts w:hint="eastAsia"/>
          <w:b w:val="0"/>
          <w:bCs/>
          <w:color w:val="000000"/>
          <w:szCs w:val="32"/>
        </w:rPr>
        <w:t xml:space="preserve">第六章  </w:t>
      </w:r>
      <w:bookmarkEnd w:id="429"/>
      <w:r>
        <w:rPr>
          <w:rFonts w:hint="eastAsia"/>
          <w:b w:val="0"/>
          <w:bCs/>
          <w:color w:val="000000"/>
          <w:szCs w:val="32"/>
        </w:rPr>
        <w:t>汇聚各方强大合力</w:t>
      </w:r>
      <w:bookmarkEnd w:id="430"/>
      <w:bookmarkEnd w:id="431"/>
    </w:p>
    <w:p>
      <w:pPr>
        <w:pStyle w:val="27"/>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人民主体地位，践行党的群众路线，加强“十四五”规划宣传，用宏伟蓝图凝聚人心、集中民智、汇集民力，增强全民参与规划实施的主人翁意识，最广泛地动员群众、团结群众、组织群众，在紧紧依靠人民中凝聚发展合力。充分激发社会各界</w:t>
      </w:r>
      <w:r>
        <w:rPr>
          <w:rFonts w:hint="eastAsia" w:ascii="仿宋_GB2312" w:hAnsi="仿宋_GB2312" w:eastAsia="仿宋_GB2312" w:cs="仿宋_GB2312"/>
          <w:color w:val="000000"/>
          <w:spacing w:val="-6"/>
          <w:sz w:val="32"/>
          <w:szCs w:val="32"/>
        </w:rPr>
        <w:t>和市场主体的创造力，支持基层群众创</w:t>
      </w:r>
      <w:r>
        <w:rPr>
          <w:rFonts w:hint="eastAsia" w:ascii="仿宋_GB2312" w:hAnsi="仿宋_GB2312" w:eastAsia="仿宋_GB2312" w:cs="仿宋_GB2312"/>
          <w:color w:val="000000"/>
          <w:sz w:val="32"/>
          <w:szCs w:val="32"/>
        </w:rPr>
        <w:t>新创造，形成全社会关心规划、参与实施和共同监督的良好氛围。</w:t>
      </w:r>
    </w:p>
    <w:p>
      <w:pPr>
        <w:pStyle w:val="27"/>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规划是全面开启社会主义现代化郏县建设新征程的第一个五年规划。全县人民要紧密团结在以习近平同志为核心的党中央周围，高举习近平新时代中国特色社会主义思想伟大旗帜，牢记嘱托，不负使命，同心同德，顽强奋斗，共同把新郏县建设得更加美好，为完成“十四五”规划、实现二〇三五年远景目标，谱写新时代中原更加出彩的郏县绚丽篇章而努力奋斗！</w:t>
      </w: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41"/>
        <w:spacing w:beforeLines="100" w:afterLines="100" w:line="580" w:lineRule="exact"/>
        <w:jc w:val="both"/>
        <w:rPr>
          <w:rFonts w:ascii="黑体" w:hAnsi="黑体" w:eastAsia="黑体" w:cs="黑体"/>
          <w:b w:val="0"/>
          <w:color w:val="000000"/>
          <w:sz w:val="32"/>
          <w:szCs w:val="32"/>
        </w:rPr>
      </w:pPr>
      <w:bookmarkStart w:id="432" w:name="_Toc2452"/>
      <w:r>
        <w:rPr>
          <w:rFonts w:hint="eastAsia" w:ascii="黑体" w:hAnsi="黑体" w:eastAsia="黑体" w:cs="黑体"/>
          <w:b w:val="0"/>
          <w:color w:val="000000"/>
          <w:sz w:val="32"/>
          <w:szCs w:val="32"/>
        </w:rPr>
        <w:t>附  件</w:t>
      </w:r>
      <w:bookmarkEnd w:id="432"/>
    </w:p>
    <w:p>
      <w:pPr>
        <w:pStyle w:val="41"/>
        <w:spacing w:beforeLines="150" w:line="580" w:lineRule="exact"/>
        <w:rPr>
          <w:rFonts w:ascii="方正小标宋_GBK" w:hAnsi="方正小标宋_GBK" w:eastAsia="方正小标宋_GBK" w:cs="方正小标宋_GBK"/>
          <w:b w:val="0"/>
          <w:color w:val="000000"/>
          <w:szCs w:val="44"/>
        </w:rPr>
      </w:pPr>
      <w:bookmarkStart w:id="433" w:name="_Toc11714"/>
      <w:r>
        <w:rPr>
          <w:rFonts w:hint="eastAsia" w:ascii="方正小标宋_GBK" w:hAnsi="方正小标宋_GBK" w:eastAsia="方正小标宋_GBK" w:cs="方正小标宋_GBK"/>
          <w:b w:val="0"/>
          <w:color w:val="000000"/>
          <w:szCs w:val="44"/>
        </w:rPr>
        <w:t>部分名词解释</w:t>
      </w:r>
      <w:bookmarkEnd w:id="433"/>
    </w:p>
    <w:p>
      <w:pPr>
        <w:pStyle w:val="27"/>
        <w:spacing w:line="600" w:lineRule="exact"/>
        <w:ind w:firstLine="640" w:firstLineChars="200"/>
        <w:rPr>
          <w:rFonts w:ascii="仿宋_GB2312" w:hAnsi="仿宋_GB2312" w:eastAsia="仿宋_GB2312" w:cs="仿宋_GB2312"/>
          <w:color w:val="000000"/>
          <w:sz w:val="32"/>
          <w:szCs w:val="32"/>
        </w:rPr>
      </w:pPr>
    </w:p>
    <w:p>
      <w:pPr>
        <w:pStyle w:val="27"/>
        <w:spacing w:line="560" w:lineRule="exact"/>
        <w:ind w:firstLine="640"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1.七地一枢纽：《平顶山市国民经济和社会发展第十四个五年规划和二〇三五年远景目标纲要》提出，要聚力打造“七地一枢纽”战略支撑：新材料基地、绿色食品基地、文旅康养</w:t>
      </w:r>
      <w:r>
        <w:rPr>
          <w:rFonts w:hint="eastAsia" w:ascii="仿宋_GB2312" w:hAnsi="仿宋_GB2312" w:eastAsia="仿宋_GB2312" w:cs="仿宋_GB2312"/>
          <w:color w:val="000000"/>
          <w:spacing w:val="-6"/>
          <w:sz w:val="32"/>
          <w:szCs w:val="32"/>
        </w:rPr>
        <w:t>基地、对外开放高地、创新人才价值实现基地、“两山”理论实践基地、新型综合能源基地和豫西南综合交通枢纽。</w:t>
      </w:r>
    </w:p>
    <w:p>
      <w:pPr>
        <w:pStyle w:val="27"/>
        <w:spacing w:line="560" w:lineRule="exact"/>
        <w:ind w:firstLine="640"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2.四</w:t>
      </w:r>
      <w:r>
        <w:rPr>
          <w:rFonts w:hint="eastAsia" w:ascii="仿宋_GB2312" w:hAnsi="仿宋_GB2312" w:eastAsia="仿宋_GB2312" w:cs="仿宋_GB2312"/>
          <w:color w:val="000000"/>
          <w:spacing w:val="-6"/>
          <w:sz w:val="32"/>
          <w:szCs w:val="32"/>
        </w:rPr>
        <w:t>个郏县：</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厚重</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郏县、实力郏县、文明郏县、幸福郏县。</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3.两不愁三保障：“两不愁”就是稳定实现农村贫困人口不愁吃、不愁穿；“三保障”就是保障其</w:t>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"https://baike.baidu.com/item/%E4%B9%89%E5%8A%A1%E6%95%99%E8%82%B2/552015" \t "_blank"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32"/>
          <w:szCs w:val="32"/>
        </w:rPr>
        <w:t>义务教育</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、基本医疗和住房安全。</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4.三大改造：绿色化改造、智能化改造、企业技术改造</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5.四水同治：实施水资源、水生态、水环境、水灾害统筹治理。</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6.村级妇联“四组一队”：即“发展组、权益组、宣教组、家风组和巾帼志愿者服务队”工作模式。2018年6月19日</w:t>
      </w:r>
      <w:r>
        <w:rPr>
          <w:rFonts w:hint="eastAsia" w:ascii="仿宋_GB2312" w:hAnsi="仿宋_GB2312" w:eastAsia="仿宋_GB2312" w:cs="仿宋_GB2312"/>
          <w:color w:val="000000"/>
          <w:spacing w:val="-6"/>
          <w:sz w:val="32"/>
          <w:szCs w:val="32"/>
        </w:rPr>
        <w:t>至20日，省妇联在郏县召开全省村级妇联“四组一队</w:t>
      </w:r>
      <w:r>
        <w:rPr>
          <w:rFonts w:hint="eastAsia" w:ascii="仿宋_GB2312" w:hAnsi="仿宋_GB2312" w:eastAsia="仿宋_GB2312" w:cs="仿宋_GB2312"/>
          <w:color w:val="000000"/>
          <w:sz w:val="32"/>
          <w:szCs w:val="32"/>
        </w:rPr>
        <w:t>”工作模式现场推进会,并进行现场观摩活动，在全省推广村级妇联“四组一队”工作模式。</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7.“五位一体”总体布局：指</w:t>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"https://baike.baidu.com/item/%E7%BB%8F%E6%B5%8E%E5%BB%BA%E8%AE%BE/9258820" \t "_blank"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32"/>
          <w:szCs w:val="32"/>
        </w:rPr>
        <w:t>经济建设</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"https://baike.baidu.com/item/%E6%94%BF%E6%B2%BB%E5%BB%BA%E8%AE%BE/10611299" \t "_blank"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32"/>
          <w:szCs w:val="32"/>
        </w:rPr>
        <w:t>政治建设</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"https://baike.baidu.com/item/%E6%96%87%E5%8C%96%E5%BB%BA%E8%AE%BE/10705490" \t "_blank"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32"/>
          <w:szCs w:val="32"/>
        </w:rPr>
        <w:t>文化建设</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"https://baike.baidu.com/item/%E7%A4%BE%E4%BC%9A%E5%BB%BA%E8%AE%BE/2700759" \t "_blank"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32"/>
          <w:szCs w:val="32"/>
        </w:rPr>
        <w:t>社会建设</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和</w:t>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"https://baike.baidu.com/item/%E7%94%9F%E6%80%81%E6%96%87%E6%98%8E%E5%BB%BA%E8%AE%BE/7116586" \t "_blank"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32"/>
          <w:szCs w:val="32"/>
        </w:rPr>
        <w:t>生态文明建设</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五位一体，全面推进。</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8.四张图谱：产业链图谱，企业分布图谱，核心技术图谱，市场分布图谱。</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9.四个拜访：拜访国家级科研机构、重点产业投资机构、各行业内知名企业家、国家级行业协会。</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10.鹰城英才计划：平顶山市委、市政府为了加快创新驱动发展而实施的一项人才振兴计划。</w:t>
      </w:r>
    </w:p>
    <w:p>
      <w:pPr>
        <w:pStyle w:val="27"/>
        <w:spacing w:line="560" w:lineRule="exact"/>
        <w:ind w:firstLine="640"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11.四</w:t>
      </w:r>
      <w:r>
        <w:rPr>
          <w:rFonts w:hint="eastAsia" w:ascii="仿宋_GB2312" w:hAnsi="仿宋_GB2312" w:eastAsia="仿宋_GB2312" w:cs="仿宋_GB2312"/>
          <w:color w:val="000000"/>
          <w:spacing w:val="-6"/>
          <w:sz w:val="32"/>
          <w:szCs w:val="32"/>
        </w:rPr>
        <w:t>好农村路：把农村公路建好、管好、护好、运营好。</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12.三区三线：城镇、农业、生态空间和生态保护红线、永久基本农田保护红线、城镇开发边界。</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13.农村“三变改革”：资源变资产、资金变股金、农民变股东。</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14.三有三带：有理想信念和奉献精神,能带来希望;有经济头脑和致富本领,能带领发展;有良好品行和公道之心,能带出和谐</w:t>
      </w:r>
    </w:p>
    <w:p>
      <w:pPr>
        <w:pStyle w:val="27"/>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3221”模式：三严格、二规范、二服务、一发挥。“三严格”即严格职责管理、严格分区设置、严格用餐管理，“二规范”即规范接转流程、规范留观检测程序，“二服务”即做好生活需求服务、做好心理辅导服务，“一发挥”即充分发挥党组织的战斗堡垒和党员先锋模范作用。</w:t>
      </w:r>
    </w:p>
    <w:p>
      <w:pPr>
        <w:pStyle w:val="27"/>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城区五个一，乡镇三个一：“五个一”即1个小型体育馆、1个小型体育场、1个中小型全民健身活动中心、1个游泳设施和1个体育公园。“三个一”即小型室内健身中心、全民健身广场、多功能球类运动场或笼式足球场。</w:t>
      </w:r>
    </w:p>
    <w:sectPr>
      <w:pgSz w:w="11850" w:h="16783"/>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小标宋_GBK">
    <w:panose1 w:val="02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Times New Roman" w:hAnsi="Times New Roman" w:eastAsia="宋体" w:cs="Times New Roman"/>
        <w:kern w:val="2"/>
        <w:sz w:val="21"/>
        <w:szCs w:val="24"/>
        <w:lang w:val="en-US" w:eastAsia="zh-CN" w:bidi="ar-SA"/>
      </w:rPr>
      <w:pict>
        <v:rect id="文本框 1" o:spid="_x0000_s1025" style="position:absolute;left:0;margin-top:0pt;height:12.05pt;width:15.8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singleLevel"/>
    <w:tmpl w:val="00000001"/>
    <w:lvl w:ilvl="0" w:tentative="1">
      <w:start w:val="5"/>
      <w:numFmt w:val="chineseCounting"/>
      <w:suff w:val="space"/>
      <w:lvlText w:val="第%1篇"/>
      <w:lvlJc w:val="left"/>
      <w:rPr>
        <w:rFonts w:hint="eastAsia"/>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pPr>
      <w:keepNext/>
      <w:keepLines/>
      <w:spacing w:line="576" w:lineRule="auto"/>
      <w:outlineLvl w:val="0"/>
    </w:pPr>
    <w:rPr>
      <w:b/>
      <w:kern w:val="44"/>
      <w:sz w:val="44"/>
    </w:rPr>
  </w:style>
  <w:style w:type="paragraph" w:styleId="5">
    <w:name w:val="heading 2"/>
    <w:basedOn w:val="1"/>
    <w:next w:val="1"/>
    <w:link w:val="54"/>
    <w:pPr>
      <w:keepNext/>
      <w:keepLines/>
      <w:spacing w:line="413" w:lineRule="auto"/>
      <w:outlineLvl w:val="1"/>
    </w:pPr>
    <w:rPr>
      <w:rFonts w:ascii="Arial" w:hAnsi="Arial" w:eastAsia="黑体"/>
      <w:b/>
      <w:kern w:val="2"/>
      <w:sz w:val="32"/>
      <w:szCs w:val="24"/>
    </w:rPr>
  </w:style>
  <w:style w:type="paragraph" w:styleId="6">
    <w:name w:val="heading 3"/>
    <w:basedOn w:val="1"/>
    <w:next w:val="1"/>
    <w:link w:val="55"/>
    <w:pPr>
      <w:keepNext/>
      <w:keepLines/>
      <w:spacing w:line="413" w:lineRule="auto"/>
      <w:outlineLvl w:val="2"/>
    </w:pPr>
    <w:rPr>
      <w:b/>
      <w:kern w:val="2"/>
      <w:sz w:val="32"/>
      <w:szCs w:val="24"/>
    </w:rPr>
  </w:style>
  <w:style w:type="character" w:default="1" w:styleId="19">
    <w:name w:val="Default Paragraph Font"/>
  </w:style>
  <w:style w:type="paragraph" w:customStyle="1" w:styleId="2">
    <w:name w:val="Body Text First Indent1"/>
    <w:basedOn w:val="3"/>
    <w:next w:val="1"/>
    <w:pPr>
      <w:tabs>
        <w:tab w:val="left" w:pos="2250"/>
      </w:tabs>
      <w:ind w:firstLine="420" w:firstLineChars="100"/>
    </w:pPr>
    <w:rPr>
      <w:rFonts w:ascii="Calibri" w:hAnsi="Times New Roman" w:cs="黑体"/>
    </w:rPr>
  </w:style>
  <w:style w:type="paragraph" w:styleId="3">
    <w:name w:val="Body Text"/>
    <w:basedOn w:val="1"/>
    <w:next w:val="1"/>
    <w:rPr>
      <w:rFonts w:hAnsi="等线" w:eastAsia="等线"/>
      <w:szCs w:val="30"/>
    </w:rPr>
  </w:style>
  <w:style w:type="paragraph" w:styleId="7">
    <w:name w:val="toc 7"/>
    <w:basedOn w:val="1"/>
    <w:next w:val="1"/>
    <w:pPr>
      <w:ind w:left="2520" w:leftChars="1200"/>
    </w:pPr>
  </w:style>
  <w:style w:type="paragraph" w:styleId="8">
    <w:name w:val="annotation text"/>
    <w:basedOn w:val="1"/>
    <w:link w:val="56"/>
    <w:pPr>
      <w:jc w:val="left"/>
    </w:pPr>
    <w:rPr>
      <w:kern w:val="2"/>
      <w:sz w:val="21"/>
      <w:szCs w:val="24"/>
    </w:rPr>
  </w:style>
  <w:style w:type="paragraph" w:styleId="9">
    <w:name w:val="toc 5"/>
    <w:basedOn w:val="1"/>
    <w:next w:val="1"/>
    <w:pPr>
      <w:ind w:left="1680" w:leftChars="800"/>
    </w:pPr>
  </w:style>
  <w:style w:type="paragraph" w:styleId="10">
    <w:name w:val="toc 3"/>
    <w:basedOn w:val="1"/>
    <w:next w:val="1"/>
    <w:pPr>
      <w:ind w:left="840" w:leftChars="400"/>
    </w:pPr>
  </w:style>
  <w:style w:type="paragraph" w:styleId="11">
    <w:name w:val="toc 8"/>
    <w:basedOn w:val="1"/>
    <w:next w:val="1"/>
    <w:pPr>
      <w:ind w:left="2940" w:leftChars="1400"/>
    </w:pPr>
  </w:style>
  <w:style w:type="paragraph" w:styleId="12">
    <w:name w:val="footer"/>
    <w:basedOn w:val="1"/>
    <w:pPr>
      <w:tabs>
        <w:tab w:val="center" w:pos="4153"/>
        <w:tab w:val="right" w:pos="8306"/>
      </w:tabs>
      <w:snapToGrid w:val="0"/>
      <w:jc w:val="left"/>
    </w:pPr>
    <w:rPr>
      <w:sz w:val="18"/>
      <w:szCs w:val="18"/>
    </w:rPr>
  </w:style>
  <w:style w:type="paragraph" w:styleId="13">
    <w:name w:val="header"/>
    <w:basedOn w:val="1"/>
    <w:pPr>
      <w:pBdr>
        <w:bottom w:val="single" w:color="auto" w:sz="6" w:space="1"/>
      </w:pBdr>
      <w:tabs>
        <w:tab w:val="center" w:pos="4153"/>
        <w:tab w:val="right" w:pos="8306"/>
      </w:tabs>
      <w:snapToGrid w:val="0"/>
      <w:jc w:val="center"/>
    </w:pPr>
    <w:rPr>
      <w:sz w:val="18"/>
      <w:szCs w:val="18"/>
    </w:rPr>
  </w:style>
  <w:style w:type="paragraph" w:styleId="14">
    <w:name w:val="toc 1"/>
    <w:basedOn w:val="1"/>
    <w:next w:val="1"/>
  </w:style>
  <w:style w:type="paragraph" w:styleId="15">
    <w:name w:val="toc 4"/>
    <w:basedOn w:val="1"/>
    <w:next w:val="1"/>
    <w:pPr>
      <w:ind w:left="1260" w:leftChars="600"/>
    </w:pPr>
  </w:style>
  <w:style w:type="paragraph" w:styleId="16">
    <w:name w:val="toc 6"/>
    <w:basedOn w:val="1"/>
    <w:next w:val="1"/>
    <w:pPr>
      <w:ind w:left="2100" w:leftChars="1000"/>
    </w:pPr>
  </w:style>
  <w:style w:type="paragraph" w:styleId="17">
    <w:name w:val="toc 2"/>
    <w:basedOn w:val="1"/>
    <w:next w:val="1"/>
    <w:pPr>
      <w:ind w:left="420" w:leftChars="200"/>
    </w:pPr>
  </w:style>
  <w:style w:type="paragraph" w:styleId="18">
    <w:name w:val="toc 9"/>
    <w:basedOn w:val="1"/>
    <w:next w:val="1"/>
    <w:pPr>
      <w:ind w:left="3360" w:leftChars="1600"/>
    </w:pPr>
  </w:style>
  <w:style w:type="character" w:styleId="20">
    <w:name w:val="Strong"/>
    <w:rPr>
      <w:b/>
    </w:rPr>
  </w:style>
  <w:style w:type="character" w:styleId="21">
    <w:name w:val="FollowedHyperlink"/>
    <w:rPr>
      <w:color w:val="555555"/>
      <w:u w:val="none"/>
    </w:rPr>
  </w:style>
  <w:style w:type="character" w:styleId="22">
    <w:name w:val="Emphasis"/>
    <w:basedOn w:val="19"/>
    <w:rPr/>
  </w:style>
  <w:style w:type="character" w:styleId="23">
    <w:name w:val="Hyperlink"/>
    <w:rPr>
      <w:color w:val="555555"/>
      <w:u w:val="none"/>
    </w:rPr>
  </w:style>
  <w:style w:type="paragraph" w:customStyle="1" w:styleId="24">
    <w:name w:val="Body Text First Indent"/>
    <w:basedOn w:val="3"/>
    <w:pPr>
      <w:ind w:firstLine="420"/>
    </w:pPr>
    <w:rPr>
      <w:bCs/>
    </w:rPr>
  </w:style>
  <w:style w:type="paragraph" w:customStyle="1" w:styleId="25">
    <w:name w:val="批注框文本 Char Char"/>
    <w:basedOn w:val="1"/>
    <w:link w:val="85"/>
    <w:rPr>
      <w:kern w:val="2"/>
      <w:sz w:val="18"/>
      <w:szCs w:val="18"/>
    </w:rPr>
  </w:style>
  <w:style w:type="paragraph" w:customStyle="1" w:styleId="26">
    <w:name w:val="annotation subject"/>
    <w:basedOn w:val="8"/>
    <w:next w:val="8"/>
    <w:link w:val="84"/>
    <w:rPr>
      <w:b/>
      <w:bCs/>
      <w:kern w:val="2"/>
      <w:sz w:val="21"/>
      <w:szCs w:val="24"/>
    </w:rPr>
  </w:style>
  <w:style w:type="paragraph" w:customStyle="1" w:styleId="27">
    <w:name w:val="正文文本 21"/>
    <w:basedOn w:val="1"/>
    <w:pPr>
      <w:spacing w:line="480" w:lineRule="auto"/>
    </w:pPr>
  </w:style>
  <w:style w:type="paragraph" w:customStyle="1" w:styleId="28">
    <w:name w:val="正文缩进1"/>
    <w:basedOn w:val="1"/>
    <w:pPr>
      <w:spacing w:line="600" w:lineRule="exact"/>
      <w:ind w:firstLine="200" w:firstLineChars="200"/>
    </w:pPr>
    <w:rPr>
      <w:rFonts w:eastAsia="仿宋_GB2312"/>
      <w:sz w:val="32"/>
    </w:rPr>
  </w:style>
  <w:style w:type="paragraph" w:customStyle="1" w:styleId="29">
    <w:name w:val="正文缩进11"/>
    <w:basedOn w:val="1"/>
    <w:pPr>
      <w:spacing w:line="600" w:lineRule="exact"/>
      <w:ind w:firstLine="200" w:firstLineChars="200"/>
    </w:pPr>
    <w:rPr>
      <w:rFonts w:eastAsia="仿宋_GB2312"/>
      <w:sz w:val="32"/>
    </w:rPr>
  </w:style>
  <w:style w:type="paragraph" w:customStyle="1" w:styleId="30">
    <w:name w:val="文档结构图1"/>
    <w:basedOn w:val="1"/>
    <w:link w:val="58"/>
    <w:rPr>
      <w:rFonts w:ascii="宋体"/>
      <w:kern w:val="2"/>
      <w:sz w:val="18"/>
      <w:szCs w:val="18"/>
    </w:rPr>
  </w:style>
  <w:style w:type="paragraph" w:customStyle="1" w:styleId="31">
    <w:name w:val="正文文本缩进1"/>
    <w:basedOn w:val="1"/>
    <w:pPr>
      <w:spacing w:after="120"/>
      <w:ind w:left="420"/>
    </w:pPr>
  </w:style>
  <w:style w:type="paragraph" w:customStyle="1" w:styleId="32">
    <w:name w:val="正文文本 22"/>
    <w:basedOn w:val="1"/>
    <w:rPr>
      <w:sz w:val="24"/>
    </w:rPr>
  </w:style>
  <w:style w:type="paragraph" w:customStyle="1" w:styleId="33">
    <w:name w:val="普通(网站)1"/>
    <w:basedOn w:val="1"/>
    <w:pPr>
      <w:jc w:val="left"/>
    </w:pPr>
    <w:rPr>
      <w:kern w:val="0"/>
      <w:sz w:val="24"/>
    </w:rPr>
  </w:style>
  <w:style w:type="paragraph" w:customStyle="1" w:styleId="34">
    <w:name w:val="正文首行缩进1"/>
    <w:basedOn w:val="3"/>
    <w:next w:val="35"/>
    <w:pPr>
      <w:spacing w:before="100" w:beforeAutospacing="1"/>
      <w:ind w:firstLine="420"/>
    </w:pPr>
  </w:style>
  <w:style w:type="paragraph" w:customStyle="1" w:styleId="35">
    <w:name w:val="正文首行缩进 21"/>
    <w:basedOn w:val="31"/>
    <w:pPr>
      <w:ind w:left="0" w:firstLine="40"/>
    </w:pPr>
    <w:rPr>
      <w:rFonts w:ascii="仿宋_GB2312" w:hAnsi="仿宋_GB2312" w:eastAsia="仿宋" w:cs="仿宋_GB2312"/>
      <w:sz w:val="32"/>
      <w:szCs w:val="32"/>
    </w:rPr>
  </w:style>
  <w:style w:type="paragraph" w:customStyle="1" w:styleId="36">
    <w:name w:val="1 Char Char Char Char Char Char Char Char Char Char Char Char Char"/>
    <w:basedOn w:val="1"/>
    <w:pPr>
      <w:snapToGrid w:val="0"/>
      <w:spacing w:line="360" w:lineRule="auto"/>
      <w:ind w:firstLine="200" w:firstLineChars="200"/>
    </w:pPr>
  </w:style>
  <w:style w:type="paragraph" w:customStyle="1" w:styleId="37">
    <w:name w:val="Default"/>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8">
    <w:name w:val="列出段落1"/>
    <w:basedOn w:val="1"/>
    <w:pPr>
      <w:ind w:firstLine="420" w:firstLineChars="200"/>
    </w:pPr>
  </w:style>
  <w:style w:type="paragraph" w:customStyle="1" w:styleId="39">
    <w:name w:val="WPSOffice手动目录 1"/>
    <w:rPr>
      <w:rFonts w:ascii="Times New Roman" w:hAnsi="Times New Roman" w:eastAsia="宋体" w:cs="Times New Roman"/>
      <w:lang w:val="en-US" w:eastAsia="zh-CN" w:bidi="ar-SA"/>
    </w:rPr>
  </w:style>
  <w:style w:type="paragraph" w:customStyle="1" w:styleId="40">
    <w:name w:val="WPSOffice手动目录 2"/>
    <w:pPr>
      <w:ind w:left="200" w:leftChars="200"/>
    </w:pPr>
    <w:rPr>
      <w:rFonts w:ascii="Times New Roman" w:hAnsi="Times New Roman" w:eastAsia="宋体" w:cs="Times New Roman"/>
      <w:lang w:val="en-US" w:eastAsia="zh-CN" w:bidi="ar-SA"/>
    </w:rPr>
  </w:style>
  <w:style w:type="paragraph" w:customStyle="1" w:styleId="41">
    <w:name w:val="11"/>
    <w:basedOn w:val="4"/>
    <w:link w:val="59"/>
    <w:pPr>
      <w:jc w:val="center"/>
    </w:pPr>
    <w:rPr>
      <w:kern w:val="44"/>
      <w:sz w:val="44"/>
      <w:szCs w:val="24"/>
    </w:rPr>
  </w:style>
  <w:style w:type="paragraph" w:customStyle="1" w:styleId="42">
    <w:name w:val="22"/>
    <w:basedOn w:val="5"/>
    <w:link w:val="60"/>
    <w:pPr>
      <w:spacing w:line="580" w:lineRule="exact"/>
      <w:jc w:val="center"/>
    </w:pPr>
    <w:rPr>
      <w:rFonts w:ascii="黑体" w:hAnsi="黑体" w:eastAsia="黑体"/>
      <w:kern w:val="2"/>
      <w:sz w:val="32"/>
      <w:szCs w:val="24"/>
    </w:rPr>
  </w:style>
  <w:style w:type="paragraph" w:customStyle="1" w:styleId="43">
    <w:name w:val="33"/>
    <w:basedOn w:val="6"/>
    <w:pPr>
      <w:spacing w:line="580" w:lineRule="exact"/>
      <w:jc w:val="center"/>
    </w:pPr>
    <w:rPr>
      <w:rFonts w:ascii="楷体_GB2312" w:hAnsi="黑体" w:eastAsia="楷体_GB2312"/>
      <w:b w:val="0"/>
    </w:rPr>
  </w:style>
  <w:style w:type="paragraph" w:customStyle="1" w:styleId="44">
    <w:name w:val="_Style 19"/>
    <w:basedOn w:val="1"/>
    <w:pPr>
      <w:tabs>
        <w:tab w:val="left" w:pos="794"/>
        <w:tab w:val="left" w:pos="1191"/>
        <w:tab w:val="left" w:pos="1588"/>
        <w:tab w:val="left" w:pos="1985"/>
      </w:tabs>
      <w:autoSpaceDE w:val="0"/>
      <w:autoSpaceDN w:val="0"/>
      <w:adjustRightInd w:val="0"/>
      <w:spacing w:before="136"/>
    </w:pPr>
  </w:style>
  <w:style w:type="paragraph" w:customStyle="1" w:styleId="45">
    <w:name w:val="正文文本缩进 21"/>
    <w:basedOn w:val="1"/>
    <w:link w:val="61"/>
    <w:pPr>
      <w:spacing w:after="120" w:line="480" w:lineRule="auto"/>
      <w:ind w:left="420" w:leftChars="200"/>
    </w:pPr>
    <w:rPr>
      <w:kern w:val="2"/>
      <w:sz w:val="21"/>
      <w:szCs w:val="24"/>
    </w:rPr>
  </w:style>
  <w:style w:type="paragraph" w:customStyle="1" w:styleId="46">
    <w:name w:val="批注主题1"/>
    <w:basedOn w:val="8"/>
    <w:next w:val="8"/>
    <w:link w:val="62"/>
    <w:rPr>
      <w:b/>
      <w:bCs/>
      <w:kern w:val="2"/>
      <w:sz w:val="21"/>
      <w:szCs w:val="24"/>
    </w:rPr>
  </w:style>
  <w:style w:type="paragraph" w:customStyle="1" w:styleId="47">
    <w:name w:val="TOC 标题1"/>
    <w:basedOn w:val="4"/>
    <w:next w:val="1"/>
    <w:pPr>
      <w:widowControl/>
      <w:spacing w:before="240" w:line="259" w:lineRule="auto"/>
      <w:jc w:val="left"/>
      <w:outlineLvl w:val="9"/>
    </w:pPr>
    <w:rPr>
      <w:rFonts w:ascii="Calibri Light" w:hAnsi="Calibri Light" w:cs="黑体"/>
      <w:b w:val="0"/>
      <w:color w:val="2D73B3"/>
      <w:kern w:val="0"/>
      <w:sz w:val="32"/>
      <w:szCs w:val="32"/>
    </w:rPr>
  </w:style>
  <w:style w:type="paragraph" w:customStyle="1" w:styleId="48">
    <w:name w:val="普通(网站)11"/>
    <w:basedOn w:val="1"/>
    <w:pPr>
      <w:jc w:val="left"/>
    </w:pPr>
    <w:rPr>
      <w:kern w:val="0"/>
      <w:sz w:val="24"/>
    </w:rPr>
  </w:style>
  <w:style w:type="paragraph" w:customStyle="1" w:styleId="49">
    <w:name w:val="Normal (Web)_493b9347-4444-4bb2-99b7-6826419ebe88"/>
    <w:basedOn w:val="1"/>
    <w:pPr>
      <w:jc w:val="left"/>
    </w:pPr>
    <w:rPr>
      <w:kern w:val="0"/>
      <w:sz w:val="24"/>
    </w:rPr>
  </w:style>
  <w:style w:type="paragraph" w:customStyle="1" w:styleId="50">
    <w:name w:val="列出段落2"/>
    <w:basedOn w:val="1"/>
    <w:pPr>
      <w:ind w:firstLine="420" w:firstLineChars="200"/>
    </w:pPr>
  </w:style>
  <w:style w:type="paragraph" w:customStyle="1" w:styleId="51">
    <w:name w:val="333"/>
    <w:basedOn w:val="43"/>
    <w:pPr>
      <w:spacing w:before="240" w:after="240"/>
    </w:pPr>
  </w:style>
  <w:style w:type="paragraph" w:customStyle="1" w:styleId="52">
    <w:name w:val="文本样式"/>
    <w:basedOn w:val="1"/>
    <w:pPr>
      <w:spacing w:line="580" w:lineRule="exact"/>
      <w:ind w:firstLine="640" w:firstLineChars="200"/>
    </w:pPr>
    <w:rPr>
      <w:rFonts w:eastAsia="仿宋_GB2312"/>
      <w:sz w:val="32"/>
      <w:szCs w:val="32"/>
    </w:rPr>
  </w:style>
  <w:style w:type="character" w:customStyle="1" w:styleId="53">
    <w:name w:val="annotation reference"/>
    <w:basedOn w:val="19"/>
    <w:rPr>
      <w:sz w:val="21"/>
      <w:szCs w:val="21"/>
    </w:rPr>
  </w:style>
  <w:style w:type="character" w:customStyle="1" w:styleId="54">
    <w:name w:val="标题 2 字符"/>
    <w:link w:val="5"/>
    <w:semiHidden/>
    <w:rPr>
      <w:rFonts w:ascii="Arial" w:hAnsi="Arial" w:eastAsia="黑体"/>
      <w:b/>
      <w:kern w:val="2"/>
      <w:sz w:val="32"/>
      <w:szCs w:val="24"/>
    </w:rPr>
  </w:style>
  <w:style w:type="character" w:customStyle="1" w:styleId="55">
    <w:name w:val="标题 3 字符"/>
    <w:link w:val="6"/>
    <w:semiHidden/>
    <w:rPr>
      <w:b/>
      <w:kern w:val="2"/>
      <w:sz w:val="32"/>
      <w:szCs w:val="24"/>
    </w:rPr>
  </w:style>
  <w:style w:type="character" w:customStyle="1" w:styleId="56">
    <w:name w:val="批注文字 字符"/>
    <w:link w:val="8"/>
    <w:semiHidden/>
    <w:rPr>
      <w:kern w:val="2"/>
      <w:sz w:val="21"/>
      <w:szCs w:val="24"/>
    </w:rPr>
  </w:style>
  <w:style w:type="character" w:customStyle="1" w:styleId="57">
    <w:name w:val="批注框文本 字符"/>
    <w:link w:val="25"/>
    <w:semiHidden/>
    <w:rPr>
      <w:kern w:val="2"/>
      <w:sz w:val="18"/>
      <w:szCs w:val="18"/>
    </w:rPr>
  </w:style>
  <w:style w:type="character" w:customStyle="1" w:styleId="58">
    <w:name w:val="文档结构图 字符"/>
    <w:link w:val="30"/>
    <w:semiHidden/>
    <w:rPr>
      <w:rFonts w:ascii="宋体"/>
      <w:kern w:val="2"/>
      <w:sz w:val="18"/>
      <w:szCs w:val="18"/>
    </w:rPr>
  </w:style>
  <w:style w:type="character" w:customStyle="1" w:styleId="59">
    <w:name w:val="11 Char Char"/>
    <w:link w:val="41"/>
    <w:semiHidden/>
    <w:rPr>
      <w:b/>
      <w:kern w:val="44"/>
      <w:sz w:val="44"/>
      <w:szCs w:val="24"/>
    </w:rPr>
  </w:style>
  <w:style w:type="character" w:customStyle="1" w:styleId="60">
    <w:name w:val="22 Char Char"/>
    <w:link w:val="42"/>
    <w:semiHidden/>
    <w:rPr>
      <w:rFonts w:ascii="黑体" w:hAnsi="黑体" w:eastAsia="黑体"/>
      <w:kern w:val="2"/>
      <w:sz w:val="32"/>
      <w:szCs w:val="24"/>
    </w:rPr>
  </w:style>
  <w:style w:type="character" w:customStyle="1" w:styleId="61">
    <w:name w:val="正文文本缩进 2 字符"/>
    <w:link w:val="45"/>
    <w:semiHidden/>
    <w:rPr>
      <w:kern w:val="2"/>
      <w:sz w:val="21"/>
      <w:szCs w:val="24"/>
    </w:rPr>
  </w:style>
  <w:style w:type="character" w:customStyle="1" w:styleId="62">
    <w:name w:val="批注主题 字符"/>
    <w:link w:val="46"/>
    <w:semiHidden/>
    <w:rPr>
      <w:b/>
      <w:bCs/>
      <w:kern w:val="2"/>
      <w:sz w:val="21"/>
      <w:szCs w:val="24"/>
    </w:rPr>
  </w:style>
  <w:style w:type="character" w:customStyle="1" w:styleId="63">
    <w:name w:val="HTML 定义1"/>
    <w:basedOn w:val="19"/>
    <w:rPr/>
  </w:style>
  <w:style w:type="character" w:customStyle="1" w:styleId="64">
    <w:name w:val="HTML 缩写1"/>
    <w:basedOn w:val="19"/>
    <w:rPr/>
  </w:style>
  <w:style w:type="character" w:customStyle="1" w:styleId="65">
    <w:name w:val="HTML 变量1"/>
    <w:basedOn w:val="19"/>
    <w:rPr/>
  </w:style>
  <w:style w:type="character" w:customStyle="1" w:styleId="66">
    <w:name w:val="HTML 代码1"/>
    <w:rPr>
      <w:rFonts w:ascii="宋体" w:hAnsi="宋体" w:eastAsia="宋体" w:cs="宋体"/>
      <w:sz w:val="20"/>
    </w:rPr>
  </w:style>
  <w:style w:type="character" w:customStyle="1" w:styleId="67">
    <w:name w:val="HTML 引文1"/>
    <w:basedOn w:val="19"/>
    <w:rPr/>
  </w:style>
  <w:style w:type="character" w:customStyle="1" w:styleId="68">
    <w:name w:val="disabled"/>
    <w:rPr>
      <w:color w:val="999999"/>
      <w:bdr w:val="single" w:color="C5C5C5" w:sz="6" w:space="0"/>
    </w:rPr>
  </w:style>
  <w:style w:type="character" w:customStyle="1" w:styleId="69">
    <w:name w:val="current"/>
    <w:rPr>
      <w:b/>
      <w:color w:val="FFFFFF"/>
      <w:bdr w:val="single" w:color="1E72B4" w:sz="6" w:space="0"/>
      <w:shd w:val="clear" w:color="auto" w:fill="1E72B4"/>
    </w:rPr>
  </w:style>
  <w:style w:type="character" w:customStyle="1" w:styleId="70">
    <w:name w:val="NormalCharacter"/>
  </w:style>
  <w:style w:type="character" w:customStyle="1" w:styleId="71">
    <w:name w:val="sumpage"/>
    <w:rPr>
      <w:bdr w:val="single" w:color="CCCCCC" w:sz="6" w:space="0"/>
    </w:rPr>
  </w:style>
  <w:style w:type="character" w:customStyle="1" w:styleId="72">
    <w:name w:val="left"/>
    <w:rPr>
      <w:color w:val="666666"/>
    </w:rPr>
  </w:style>
  <w:style w:type="character" w:customStyle="1" w:styleId="73">
    <w:name w:val="pageback"/>
    <w:basedOn w:val="19"/>
    <w:rPr/>
  </w:style>
  <w:style w:type="character" w:customStyle="1" w:styleId="74">
    <w:name w:val="datetime"/>
    <w:basedOn w:val="19"/>
    <w:rPr/>
  </w:style>
  <w:style w:type="character" w:customStyle="1" w:styleId="75">
    <w:name w:val="datetime1"/>
    <w:basedOn w:val="19"/>
    <w:rPr/>
  </w:style>
  <w:style w:type="character" w:customStyle="1" w:styleId="76">
    <w:name w:val="datetime2"/>
    <w:basedOn w:val="19"/>
    <w:rPr/>
  </w:style>
  <w:style w:type="character" w:customStyle="1" w:styleId="77">
    <w:name w:val="missing_data"/>
    <w:rPr>
      <w:color w:val="FF0000"/>
    </w:rPr>
  </w:style>
  <w:style w:type="character" w:customStyle="1" w:styleId="78">
    <w:name w:val="批注引用1"/>
    <w:rPr>
      <w:sz w:val="21"/>
      <w:szCs w:val="21"/>
    </w:rPr>
  </w:style>
  <w:style w:type="character" w:customStyle="1" w:styleId="79">
    <w:name w:val="未处理的提及1"/>
    <w:rPr>
      <w:color w:val="605E5C"/>
      <w:shd w:val="clear" w:color="auto" w:fill="E1DFDD"/>
    </w:rPr>
  </w:style>
  <w:style w:type="character" w:customStyle="1" w:styleId="80">
    <w:name w:val="editor-vad"/>
    <w:basedOn w:val="19"/>
    <w:rPr/>
  </w:style>
  <w:style w:type="character" w:customStyle="1" w:styleId="81">
    <w:name w:val="未处理的提及2"/>
    <w:rPr>
      <w:color w:val="605E5C"/>
      <w:shd w:val="clear" w:color="auto" w:fill="E1DFDD"/>
    </w:rPr>
  </w:style>
  <w:style w:type="character" w:customStyle="1" w:styleId="82">
    <w:name w:val="22 Char Char Char"/>
    <w:basedOn w:val="54"/>
    <w:rPr>
      <w:rFonts w:ascii="黑体" w:hAnsi="黑体" w:eastAsia="黑体" w:cs="Times New Roman"/>
      <w:bCs/>
      <w:kern w:val="2"/>
      <w:sz w:val="32"/>
      <w:szCs w:val="32"/>
    </w:rPr>
  </w:style>
  <w:style w:type="character" w:customStyle="1" w:styleId="83">
    <w:name w:val="未处理的提及3"/>
    <w:basedOn w:val="19"/>
    <w:rPr>
      <w:color w:val="605E5C"/>
      <w:shd w:val="clear" w:color="auto" w:fill="E1DFDD"/>
    </w:rPr>
  </w:style>
  <w:style w:type="character" w:customStyle="1" w:styleId="84">
    <w:name w:val="批注主题 字符1"/>
    <w:basedOn w:val="56"/>
    <w:link w:val="26"/>
    <w:semiHidden/>
    <w:rPr>
      <w:b/>
      <w:bCs/>
      <w:kern w:val="2"/>
      <w:sz w:val="21"/>
      <w:szCs w:val="24"/>
    </w:rPr>
  </w:style>
  <w:style w:type="character" w:customStyle="1" w:styleId="85">
    <w:name w:val="批注框文本 字符1"/>
    <w:basedOn w:val="19"/>
    <w:link w:val="25"/>
    <w:semiHidden/>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59345</Words>
  <Characters>60495</Characters>
  <Lines>539</Lines>
  <Paragraphs>151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2021-02-22T02:05:00Z</dcterms:created>
  <dc:creator>小溪</dc:creator>
  <cp:lastPrinted>2021-02-20T12:37:00Z</cp:lastPrinted>
  <dcterms:modified xsi:type="dcterms:W3CDTF">2022-01-05T08:14:57Z</dcterms:modified>
  <dc:title>舵手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KSOSaveFontToCloudKey">
    <vt:lpwstr>540759103_btnclosed</vt:lpwstr>
  </property>
  <property fmtid="{D5CDD505-2E9C-101B-9397-08002B2CF9AE}" pid="4" name="ICV">
    <vt:lpwstr>F64B20B08D344EE09A91BD086018E134</vt:lpwstr>
  </property>
</Properties>
</file>