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三、行政强制类</w:t>
      </w:r>
    </w:p>
    <w:p>
      <w:pPr>
        <w:spacing w:line="560" w:lineRule="exact"/>
        <w:rPr>
          <w:rFonts w:ascii="仿宋_GB2312" w:hAnsi="宋体" w:eastAsia="仿宋_GB2312"/>
          <w:b/>
          <w:sz w:val="32"/>
          <w:szCs w:val="32"/>
        </w:rPr>
      </w:pPr>
      <w:r>
        <w:rPr>
          <w:rFonts w:ascii="仿宋_GB2312" w:hAnsi="宋体" w:eastAsia="仿宋_GB2312"/>
          <w:b/>
          <w:sz w:val="32"/>
          <w:szCs w:val="32"/>
        </w:rPr>
        <w:t>1</w:t>
      </w:r>
      <w:r>
        <w:rPr>
          <w:rFonts w:hint="eastAsia" w:ascii="仿宋_GB2312" w:hAnsi="宋体" w:eastAsia="仿宋_GB2312"/>
          <w:b/>
          <w:sz w:val="32"/>
          <w:szCs w:val="32"/>
        </w:rPr>
        <w:t>．查封、扣押涉嫌</w:t>
      </w: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违法违规</w:t>
      </w:r>
      <w:r>
        <w:rPr>
          <w:rFonts w:hint="eastAsia" w:ascii="仿宋_GB2312" w:hAnsi="宋体" w:eastAsia="仿宋_GB2312"/>
          <w:b/>
          <w:sz w:val="32"/>
          <w:szCs w:val="32"/>
        </w:rPr>
        <w:t>的物品及相关证据流程图</w:t>
      </w: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28" o:spid="_x0000_s1028" o:spt="1" style="position:absolute;left:0pt;margin-left:48pt;margin-top:11.35pt;height:26.25pt;width:329.25pt;z-index:25166131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发现行政相对人有涉嫌违法行为，依法应当采取行政强制措施的情形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27" o:spid="_x0000_s1027" o:spt="32" type="#_x0000_t32" style="position:absolute;left:0pt;margin-left:213.75pt;margin-top:1.75pt;height:20.25pt;width:0.05pt;z-index:251660288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bookmarkStart w:id="0" w:name="_GoBack"/>
      <w:bookmarkEnd w:id="0"/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29" o:spid="_x0000_s1029" o:spt="1" style="position:absolute;left:0pt;margin-left:59.25pt;margin-top:21.55pt;height:47.25pt;width:312.75pt;z-index:25166233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县市场监督</w:t>
                  </w:r>
                  <w:r>
                    <w:rPr>
                      <w:rFonts w:hint="eastAsia"/>
                    </w:rPr>
                    <w:t>管理局审查批准行政强制措施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（紧急情况需当场实施行政强制措施的，依法补办批准手续）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63" o:spid="_x0000_s1063" o:spt="32" type="#_x0000_t32" style="position:absolute;left:0pt;margin-left:384pt;margin-top:555.35pt;height:20.25pt;width:0.05pt;z-index:251697152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62" o:spid="_x0000_s1062" o:spt="32" type="#_x0000_t32" style="position:absolute;left:0pt;margin-left:279.05pt;margin-top:555.35pt;height:20.25pt;width:0.05pt;z-index:251696128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61" o:spid="_x0000_s1061" o:spt="32" type="#_x0000_t32" style="position:absolute;left:0pt;margin-left:156pt;margin-top:556.1pt;height:20.25pt;width:0.05pt;z-index:251695104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60" o:spid="_x0000_s1060" o:spt="32" type="#_x0000_t32" style="position:absolute;left:0pt;margin-left:59.15pt;margin-top:556.1pt;height:20.25pt;width:0.05pt;z-index:251694080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9" o:spid="_x0000_s1059" o:spt="32" type="#_x0000_t32" style="position:absolute;left:0pt;margin-left:279pt;margin-top:509.6pt;height:20.25pt;width:0.05pt;z-index:251693056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8" o:spid="_x0000_s1058" o:spt="32" type="#_x0000_t32" style="position:absolute;left:0pt;margin-left:383.95pt;margin-top:509.6pt;height:20.25pt;width:0.05pt;z-index:251692032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7" o:spid="_x0000_s1057" o:spt="32" type="#_x0000_t32" style="position:absolute;left:0pt;margin-left:155.95pt;margin-top:509.6pt;height:20.25pt;width:0.05pt;z-index:251691008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5" o:spid="_x0000_s1055" o:spt="32" type="#_x0000_t32" style="position:absolute;left:0pt;margin-left:212.95pt;margin-top:448.85pt;height:20.25pt;width:0.05pt;z-index:251688960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4" o:spid="_x0000_s1054" o:spt="32" type="#_x0000_t32" style="position:absolute;left:0pt;margin-left:348pt;margin-top:239.6pt;height:62.25pt;width:0.05pt;z-index:251687936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3" o:spid="_x0000_s1053" o:spt="32" type="#_x0000_t32" style="position:absolute;left:0pt;margin-left:213.7pt;margin-top:394.1pt;height:20.25pt;width:0.05pt;z-index:251686912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2" o:spid="_x0000_s1052" o:spt="32" type="#_x0000_t32" style="position:absolute;left:0pt;margin-left:213.75pt;margin-top:347.6pt;height:20.25pt;width:0.05pt;z-index:251685888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1" o:spid="_x0000_s1051" o:spt="32" type="#_x0000_t32" style="position:absolute;left:0pt;margin-left:119.95pt;margin-top:281.6pt;height:20.25pt;width:0.05pt;z-index:251684864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0" o:spid="_x0000_s1050" o:spt="32" type="#_x0000_t32" style="position:absolute;left:0pt;margin-left:120pt;margin-top:239.6pt;height:15.75pt;width:0.05pt;z-index:251683840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49" o:spid="_x0000_s1049" o:spt="32" type="#_x0000_t32" style="position:absolute;left:0pt;margin-left:348pt;margin-top:169.1pt;height:20.25pt;width:0.05pt;z-index:251682816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48" o:spid="_x0000_s1048" o:spt="32" type="#_x0000_t32" style="position:absolute;left:0pt;margin-left:222.75pt;margin-top:169.1pt;height:20.25pt;width:0.05pt;z-index:251681792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47" o:spid="_x0000_s1047" o:spt="32" type="#_x0000_t32" style="position:absolute;left:0pt;margin-left:336pt;margin-top:106.1pt;height:20.25pt;width:0.05pt;z-index:251680768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46" o:spid="_x0000_s1046" o:spt="32" type="#_x0000_t32" style="position:absolute;left:0pt;margin-left:101.25pt;margin-top:105.35pt;height:20.25pt;width:0.05pt;z-index:251679744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25" o:spid="_x0000_s1025" o:spt="32" type="#_x0000_t32" style="position:absolute;left:0pt;margin-left:336pt;margin-top:58.85pt;height:20.25pt;width:0.05pt;z-index:251658240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26" o:spid="_x0000_s1026" o:spt="32" type="#_x0000_t32" style="position:absolute;left:0pt;margin-left:101.25pt;margin-top:58.85pt;height:20.25pt;width:0.05pt;z-index:251659264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44" o:spid="_x0000_s1044" o:spt="1" style="position:absolute;left:0pt;margin-left:-35.15pt;margin-top:529.85pt;height:26.25pt;width:111pt;z-index:25167769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依法予以没收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43" o:spid="_x0000_s1043" o:spt="1" style="position:absolute;left:0pt;margin-left:92.25pt;margin-top:529.85pt;height:26.25pt;width:111pt;z-index:25167667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依法予以销毁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42" o:spid="_x0000_s1042" o:spt="1" style="position:absolute;left:0pt;margin-left:219pt;margin-top:529.1pt;height:26.25pt;width:124.5pt;z-index:25167564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依法解除行政强制措施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41" o:spid="_x0000_s1041" o:spt="1" style="position:absolute;left:0pt;margin-left:354pt;margin-top:529.85pt;height:26.25pt;width:111pt;z-index:25167462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依法移送有关机关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6" o:spid="_x0000_s1036" o:spt="1" style="position:absolute;left:0pt;margin-left:4.5pt;margin-top:255.35pt;height:26.25pt;width:209.25pt;z-index:25166950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听取并审核当事人的陈述和申辩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5" o:spid="_x0000_s1035" o:spt="1" style="position:absolute;left:0pt;margin-left:-9.65pt;margin-top:189.35pt;height:50.25pt;width:260.25pt;z-index:25166848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当事人到场的，告知当事人采取行政强制措施的理由、依据以及当事人依法享有的权利和救济途径</w:t>
                  </w:r>
                </w:p>
                <w:p/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4" o:spid="_x0000_s1034" o:spt="1" style="position:absolute;left:0pt;margin-left:279pt;margin-top:189.35pt;height:50.25pt;width:148.5pt;z-index:25166745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当事人不到场的，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邀请见证人到场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2" o:spid="_x0000_s1032" o:spt="1" style="position:absolute;left:0pt;margin-left:203.25pt;margin-top:125.6pt;height:43.5pt;width:223.5pt;z-index:25166540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通知当事人到场，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二名以上执法人员出示执法证件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1" o:spid="_x0000_s1031" o:spt="1" style="position:absolute;left:0pt;margin-left:-22.4pt;margin-top:79.1pt;height:26.25pt;width:225.75pt;z-index:25166438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经</w:t>
                  </w:r>
                  <w:r>
                    <w:rPr>
                      <w:rFonts w:hint="eastAsia"/>
                      <w:sz w:val="15"/>
                      <w:szCs w:val="15"/>
                      <w:lang w:eastAsia="zh-CN"/>
                    </w:rPr>
                    <w:t>县市场监督管理局</w:t>
                  </w:r>
                  <w:r>
                    <w:rPr>
                      <w:rFonts w:hint="eastAsia"/>
                      <w:sz w:val="15"/>
                      <w:szCs w:val="15"/>
                    </w:rPr>
                    <w:t>主领导审查，不采取行政强制措施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0" o:spid="_x0000_s1030" o:spt="1" style="position:absolute;left:0pt;margin-left:223.4pt;margin-top:17.55pt;height:26.25pt;width:225pt;z-index:25166336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经</w:t>
                  </w:r>
                  <w:r>
                    <w:rPr>
                      <w:rFonts w:hint="eastAsia"/>
                      <w:sz w:val="15"/>
                      <w:szCs w:val="15"/>
                      <w:lang w:eastAsia="zh-CN"/>
                    </w:rPr>
                    <w:t>县市场监督管理局</w:t>
                  </w:r>
                  <w:r>
                    <w:rPr>
                      <w:rFonts w:hint="eastAsia"/>
                      <w:sz w:val="15"/>
                      <w:szCs w:val="15"/>
                    </w:rPr>
                    <w:t>主管领导审查，采取行政强制措施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3" o:spid="_x0000_s1033" o:spt="1" style="position:absolute;left:0pt;margin-left:-22.4pt;margin-top:1.55pt;height:43.85pt;width:220.5pt;z-index:25166643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依法做出其他处理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64" o:spid="_x0000_s1064" o:spt="1" style="position:absolute;left:0pt;margin-left:-62.9pt;margin-top:14.3pt;height:159.25pt;width:108pt;z-index:251698176;mso-width-relative:page;mso-height-relative:page;" fillcolor="#FFFFFF" filled="t" stroked="t" coordsize="21600,21600">
            <v:path/>
            <v:fill on="t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/>
                    </w:rPr>
                  </w:pPr>
                  <w:r>
                    <w:rPr>
                      <w:rFonts w:hint="eastAsia" w:ascii="宋体" w:hAnsi="宋体"/>
                    </w:rPr>
                    <w:t>说明：根据责任清单和</w:t>
                  </w:r>
                  <w:r>
                    <w:rPr>
                      <w:rFonts w:hint="eastAsia" w:ascii="宋体" w:hAnsi="宋体"/>
                      <w:lang w:eastAsia="zh-CN"/>
                    </w:rPr>
                    <w:t>县市场监督管理局</w:t>
                  </w:r>
                  <w:r>
                    <w:rPr>
                      <w:rFonts w:hint="eastAsia" w:ascii="宋体" w:hAnsi="宋体"/>
                    </w:rPr>
                    <w:t>统一安排，</w:t>
                  </w:r>
                  <w:r>
                    <w:rPr>
                      <w:rFonts w:hint="eastAsia" w:ascii="宋体" w:hAnsi="宋体"/>
                      <w:lang w:eastAsia="zh-CN"/>
                    </w:rPr>
                    <w:t>经检队、各工商所、</w:t>
                  </w:r>
                  <w:r>
                    <w:rPr>
                      <w:rFonts w:hint="eastAsia" w:ascii="宋体" w:hAnsi="宋体"/>
                    </w:rPr>
                    <w:t>市场</w:t>
                  </w:r>
                  <w:r>
                    <w:rPr>
                      <w:rFonts w:hint="eastAsia" w:ascii="宋体" w:hAnsi="宋体"/>
                      <w:lang w:eastAsia="zh-CN"/>
                    </w:rPr>
                    <w:t>监督管理股</w:t>
                  </w:r>
                  <w:r>
                    <w:rPr>
                      <w:rFonts w:hint="eastAsia" w:ascii="宋体" w:hAnsi="宋体"/>
                    </w:rPr>
                    <w:t>、网络交易监督管理</w:t>
                  </w:r>
                  <w:r>
                    <w:rPr>
                      <w:rFonts w:hint="eastAsia" w:ascii="宋体" w:hAnsi="宋体"/>
                      <w:lang w:eastAsia="zh-CN"/>
                    </w:rPr>
                    <w:t>股</w:t>
                  </w:r>
                  <w:r>
                    <w:rPr>
                      <w:rFonts w:hint="eastAsia" w:ascii="宋体" w:hAnsi="宋体"/>
                    </w:rPr>
                    <w:t>、消费者权益保护</w:t>
                  </w:r>
                  <w:r>
                    <w:rPr>
                      <w:rFonts w:hint="eastAsia" w:ascii="宋体" w:hAnsi="宋体"/>
                      <w:lang w:eastAsia="zh-CN"/>
                    </w:rPr>
                    <w:t>股</w:t>
                  </w:r>
                  <w:r>
                    <w:rPr>
                      <w:rFonts w:hint="eastAsia" w:ascii="宋体" w:hAnsi="宋体"/>
                    </w:rPr>
                    <w:t>可依法采取行政强制措施，也可联合实施强制措施。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7" o:spid="_x0000_s1037" o:spt="1" style="position:absolute;left:0pt;margin-left:61.5pt;margin-top:21.05pt;height:45pt;width:370.5pt;z-index:25167052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制作现场笔录，由当事人（或见证人）、执法人员签名或盖章确认，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向当事人送达行政强制决定书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8" o:spid="_x0000_s1038" o:spt="1" style="position:absolute;left:0pt;margin-left:63pt;margin-top:24.65pt;height:26.25pt;width:369pt;z-index:25167155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实施行政强制措施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39" o:spid="_x0000_s1039" o:spt="1" style="position:absolute;left:0pt;margin-left:61.5pt;margin-top:7.25pt;height:36.75pt;width:370.5pt;z-index:25167257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查封、扣押：交付查封、扣押清单；对物品需要进行检测、检验、检疫或者技术鉴定的，应当书面告知当事人起止时间，费用由行政机关负担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40" o:spid="_x0000_s1040" o:spt="1" style="position:absolute;left:0pt;margin-left:63.75pt;margin-top:0.35pt;height:41.25pt;width:368.25pt;z-index:25167360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r>
                    <w:t>30</w:t>
                  </w:r>
                  <w:r>
                    <w:rPr>
                      <w:rFonts w:hint="eastAsia"/>
                    </w:rPr>
                    <w:t>日内查清事实，作出处理决定；情况复杂的经行政机关负责人批准，可以延长，但是延长期限不得超过</w:t>
                  </w:r>
                  <w:r>
                    <w:t>30</w:t>
                  </w:r>
                  <w:r>
                    <w:rPr>
                      <w:rFonts w:hint="eastAsia"/>
                    </w:rPr>
                    <w:t>日。法律、行政法规另有规定的除外</w:t>
                  </w:r>
                </w:p>
              </w:txbxContent>
            </v:textbox>
          </v:rect>
        </w:pict>
      </w:r>
    </w:p>
    <w:p>
      <w:pPr>
        <w:jc w:val="center"/>
        <w:rPr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s1056" o:spid="_x0000_s1056" o:spt="32" type="#_x0000_t32" style="position:absolute;left:0pt;margin-left:71.95pt;margin-top:10.4pt;height:20.25pt;width:0.05pt;z-index:251689984;mso-width-relative:page;mso-height-relative:page;" fillcolor="#FFFFFF" filled="t" o:preferrelative="t" stroked="t" coordsize="21600,21600">
            <v:path arrowok="t"/>
            <v:fill on="t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jc w:val="center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_x0000_s1045" o:spid="_x0000_s1045" o:spt="1" style="position:absolute;left:0pt;margin-left:-9.65pt;margin-top:45.95pt;height:22.85pt;width:437.25pt;z-index:25167872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结案（立卷归档）</w:t>
                  </w:r>
                </w:p>
              </w:txbxContent>
            </v:textbox>
          </v:rect>
        </w:pict>
      </w:r>
    </w:p>
    <w:p>
      <w:pPr>
        <w:spacing w:line="560" w:lineRule="exact"/>
        <w:rPr>
          <w:rFonts w:hint="eastAsia" w:ascii="仿宋_GB2312" w:hAnsi="宋体" w:eastAsia="仿宋_GB2312"/>
          <w:b/>
          <w:sz w:val="32"/>
          <w:szCs w:val="32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2B053CB"/>
    <w:rsid w:val="16C75BF1"/>
    <w:rsid w:val="333F0CA1"/>
    <w:rsid w:val="3ADB3E00"/>
    <w:rsid w:val="4DB31E6E"/>
    <w:rsid w:val="5CB702A9"/>
    <w:rsid w:val="62714E76"/>
    <w:rsid w:val="6E3C7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_x0000_s1025"/>
        <o:r id="V:Rule2" type="connector" idref="#_x0000_s1026"/>
        <o:r id="V:Rule3" type="connector" idref="#_x0000_s1027"/>
        <o:r id="V:Rule4" type="connector" idref="#_x0000_s1046"/>
        <o:r id="V:Rule5" type="connector" idref="#_x0000_s1047"/>
        <o:r id="V:Rule6" type="connector" idref="#_x0000_s1048"/>
        <o:r id="V:Rule7" type="connector" idref="#_x0000_s1049"/>
        <o:r id="V:Rule8" type="connector" idref="#_x0000_s1050"/>
        <o:r id="V:Rule9" type="connector" idref="#_x0000_s1051"/>
        <o:r id="V:Rule10" type="connector" idref="#_x0000_s1052"/>
        <o:r id="V:Rule11" type="connector" idref="#_x0000_s1053"/>
        <o:r id="V:Rule12" type="connector" idref="#_x0000_s1054"/>
        <o:r id="V:Rule13" type="connector" idref="#_x0000_s1055"/>
        <o:r id="V:Rule14" type="connector" idref="#_x0000_s1056"/>
        <o:r id="V:Rule15" type="connector" idref="#_x0000_s1057"/>
        <o:r id="V:Rule16" type="connector" idref="#_x0000_s1058"/>
        <o:r id="V:Rule17" type="connector" idref="#_x0000_s1059"/>
        <o:r id="V:Rule18" type="connector" idref="#_x0000_s1060"/>
        <o:r id="V:Rule19" type="connector" idref="#_x0000_s1061"/>
        <o:r id="V:Rule20" type="connector" idref="#_x0000_s1062"/>
        <o:r id="V:Rule21" type="connector" idref="#_x0000_s106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Header Char"/>
    <w:basedOn w:val="5"/>
    <w:link w:val="3"/>
    <w:semiHidden/>
    <w:qFormat/>
    <w:uiPriority w:val="0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qFormat/>
    <w:uiPriority w:val="0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7"/>
    <customShpInfo spid="_x0000_s1029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25"/>
    <customShpInfo spid="_x0000_s1026"/>
    <customShpInfo spid="_x0000_s1044"/>
    <customShpInfo spid="_x0000_s1043"/>
    <customShpInfo spid="_x0000_s1042"/>
    <customShpInfo spid="_x0000_s1041"/>
    <customShpInfo spid="_x0000_s1036"/>
    <customShpInfo spid="_x0000_s1035"/>
    <customShpInfo spid="_x0000_s1034"/>
    <customShpInfo spid="_x0000_s1032"/>
    <customShpInfo spid="_x0000_s1031"/>
    <customShpInfo spid="_x0000_s1030"/>
    <customShpInfo spid="_x0000_s1033"/>
    <customShpInfo spid="_x0000_s1064"/>
    <customShpInfo spid="_x0000_s1037"/>
    <customShpInfo spid="_x0000_s1038"/>
    <customShpInfo spid="_x0000_s1039"/>
    <customShpInfo spid="_x0000_s1040"/>
    <customShpInfo spid="_x0000_s1056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16</Words>
  <Characters>97</Characters>
  <Lines>0</Lines>
  <Paragraphs>0</Paragraphs>
  <TotalTime>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2015-04-23T17:12:00Z</dcterms:created>
  <dc:creator>NTKO</dc:creator>
  <cp:lastModifiedBy>fatty</cp:lastModifiedBy>
  <cp:lastPrinted>2019-12-23T09:28:24Z</cp:lastPrinted>
  <dcterms:modified xsi:type="dcterms:W3CDTF">2019-12-23T09:28:26Z</dcterms:modified>
  <dc:title>NTKO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