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证照联办范围</w:t>
      </w:r>
    </w:p>
    <w:bookmarkEnd w:id="0"/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新办类8项：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1.《营业执照》与《计量授权证书》联办；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特种设备使用登记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《食品生产许可证》；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《食品经营许可(除仅销售预包装食品外）》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《药品经营综合许可证》（以同时申请“药品零售经营”“第二类医疗器械零售经营”的情形为例）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《药品经营综合许可证》（经营范围仅含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第二类精神药品零售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《河南省食品小经营店登记证》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》与《河南省食品小作坊登记证》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变更类10项（同免审通办）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》与《食品生产许可证》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》与《食品经营许可证》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》与《河南省食品小经营店登记证》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》与《河南省食品小作坊登记证》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》与《药品经营综合许可证》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》与《药品经营许可证》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》与《特种设备使用登记证》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》与《计量标准考核证书》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》与《专项计量授权证书》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》与《麻醉药品和第一类精神药品运输证明》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OGVhMjg0YTI1Mjc3NDYyZDhlZGNiOGI3NTBmYWQifQ=="/>
  </w:docVars>
  <w:rsids>
    <w:rsidRoot w:val="00000000"/>
    <w:rsid w:val="61E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2023-07-15T08:11:27Z</dcterms:created>
  <dc:creator>Administrator</dc:creator>
  <cp:lastModifiedBy>核桃仁儿</cp:lastModifiedBy>
  <dcterms:modified xsi:type="dcterms:W3CDTF">2023-07-15T08:11:38Z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160C4D1B273C499C9DB5AB10B523E689_12</vt:lpwstr>
  </property>
</Properties>
</file>